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C4469E">
        <w:rPr>
          <w:color w:val="FF0000"/>
          <w:sz w:val="28"/>
          <w:szCs w:val="28"/>
        </w:rPr>
        <w:t>13</w:t>
      </w:r>
      <w:r w:rsidR="00175AD7">
        <w:rPr>
          <w:color w:val="FF0000"/>
          <w:sz w:val="28"/>
          <w:szCs w:val="28"/>
        </w:rPr>
        <w:t xml:space="preserve"> </w:t>
      </w:r>
      <w:r w:rsidR="00C4469E">
        <w:rPr>
          <w:color w:val="FF0000"/>
          <w:sz w:val="28"/>
          <w:szCs w:val="28"/>
        </w:rPr>
        <w:t>марта</w:t>
      </w:r>
      <w:r w:rsidR="00175AD7">
        <w:rPr>
          <w:color w:val="FF0000"/>
          <w:sz w:val="28"/>
          <w:szCs w:val="28"/>
        </w:rPr>
        <w:t xml:space="preserve"> 202</w:t>
      </w:r>
      <w:r w:rsidR="006C3F1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C4469E">
        <w:rPr>
          <w:color w:val="FF0000"/>
          <w:sz w:val="28"/>
          <w:szCs w:val="28"/>
        </w:rPr>
        <w:t>66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</w:t>
      </w:r>
      <w:r w:rsidR="00C4469E">
        <w:rPr>
          <w:sz w:val="28"/>
          <w:szCs w:val="28"/>
        </w:rPr>
        <w:t>0</w:t>
      </w:r>
      <w:r w:rsidRPr="00836933">
        <w:rPr>
          <w:sz w:val="28"/>
          <w:szCs w:val="28"/>
        </w:rPr>
        <w:t>9:</w:t>
      </w:r>
      <w:r w:rsidR="00C4469E">
        <w:rPr>
          <w:sz w:val="28"/>
          <w:szCs w:val="28"/>
        </w:rPr>
        <w:t>2202002:367</w:t>
      </w:r>
      <w:r w:rsidRPr="00836933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C4469E" w:rsidRPr="00C4469E">
        <w:rPr>
          <w:sz w:val="28"/>
          <w:szCs w:val="28"/>
        </w:rPr>
        <w:t>Российская Федерация, Кемеровская область - Кузбасс, Мысковский городской округ, г. Мыски, восточнее земельного участка с кадастровым номером 42:09:2202002:220</w:t>
      </w:r>
      <w:r w:rsidRPr="00836933">
        <w:rPr>
          <w:sz w:val="28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</w:t>
      </w:r>
      <w:r w:rsidR="00C4469E">
        <w:rPr>
          <w:sz w:val="28"/>
          <w:szCs w:val="28"/>
        </w:rPr>
        <w:t>з</w:t>
      </w:r>
      <w:r w:rsidR="00C4469E" w:rsidRPr="00C4469E">
        <w:rPr>
          <w:sz w:val="28"/>
          <w:szCs w:val="28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836933">
        <w:rPr>
          <w:sz w:val="28"/>
          <w:szCs w:val="28"/>
        </w:rPr>
        <w:t xml:space="preserve">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C4469E">
        <w:rPr>
          <w:sz w:val="28"/>
          <w:szCs w:val="28"/>
        </w:rPr>
        <w:t>77 092</w:t>
      </w:r>
      <w:r w:rsidRPr="00836933">
        <w:rPr>
          <w:sz w:val="28"/>
          <w:szCs w:val="28"/>
        </w:rPr>
        <w:t xml:space="preserve">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C4469E">
        <w:rPr>
          <w:sz w:val="28"/>
          <w:szCs w:val="28"/>
        </w:rPr>
        <w:t>ж</w:t>
      </w:r>
      <w:r w:rsidR="00C4469E" w:rsidRPr="00C4469E">
        <w:rPr>
          <w:sz w:val="28"/>
          <w:szCs w:val="28"/>
        </w:rPr>
        <w:t>елезнодорожные пути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C4469E">
        <w:rPr>
          <w:sz w:val="28"/>
          <w:szCs w:val="28"/>
        </w:rPr>
        <w:t>1 674 000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C4469E" w:rsidRPr="00C4469E">
        <w:rPr>
          <w:sz w:val="28"/>
          <w:szCs w:val="28"/>
        </w:rPr>
        <w:t>один миллион шестьсот семьдесят четыре тысячи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C4469E">
        <w:rPr>
          <w:sz w:val="28"/>
          <w:szCs w:val="28"/>
        </w:rPr>
        <w:t>334 800</w:t>
      </w:r>
      <w:r w:rsidRPr="009C59AC">
        <w:rPr>
          <w:sz w:val="28"/>
          <w:szCs w:val="28"/>
        </w:rPr>
        <w:t xml:space="preserve"> (</w:t>
      </w:r>
      <w:r w:rsidR="00C4469E" w:rsidRPr="00C4469E">
        <w:rPr>
          <w:sz w:val="28"/>
          <w:szCs w:val="28"/>
        </w:rPr>
        <w:t>триста тридцать четыре тысячи восемьсот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C4469E">
        <w:rPr>
          <w:sz w:val="28"/>
          <w:szCs w:val="28"/>
        </w:rPr>
        <w:t>50 220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C4469E" w:rsidRPr="00C4469E">
        <w:rPr>
          <w:sz w:val="28"/>
          <w:szCs w:val="28"/>
        </w:rPr>
        <w:t>пятьдесят тысяч двести двадцать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C4469E">
        <w:rPr>
          <w:color w:val="000000"/>
          <w:sz w:val="28"/>
          <w:szCs w:val="28"/>
        </w:rPr>
        <w:t>16</w:t>
      </w:r>
      <w:r w:rsidR="00175AD7">
        <w:rPr>
          <w:color w:val="000000"/>
          <w:sz w:val="28"/>
          <w:szCs w:val="28"/>
        </w:rPr>
        <w:t>.</w:t>
      </w:r>
      <w:r w:rsidR="00C4469E">
        <w:rPr>
          <w:color w:val="000000"/>
          <w:sz w:val="28"/>
          <w:szCs w:val="28"/>
        </w:rPr>
        <w:t>1</w:t>
      </w:r>
      <w:r w:rsidR="00922A3B" w:rsidRPr="00B93F5B">
        <w:rPr>
          <w:sz w:val="28"/>
          <w:szCs w:val="28"/>
        </w:rPr>
        <w:t>/202</w:t>
      </w:r>
      <w:r w:rsidR="00C4469E">
        <w:rPr>
          <w:sz w:val="28"/>
          <w:szCs w:val="28"/>
        </w:rPr>
        <w:t>5</w:t>
      </w:r>
      <w:r w:rsidR="00922A3B" w:rsidRPr="00B93F5B">
        <w:rPr>
          <w:sz w:val="28"/>
          <w:szCs w:val="28"/>
        </w:rPr>
        <w:t xml:space="preserve"> от </w:t>
      </w:r>
      <w:r w:rsidR="00836933">
        <w:rPr>
          <w:sz w:val="28"/>
          <w:szCs w:val="28"/>
        </w:rPr>
        <w:t>0</w:t>
      </w:r>
      <w:r w:rsidR="00C4469E">
        <w:rPr>
          <w:sz w:val="28"/>
          <w:szCs w:val="28"/>
        </w:rPr>
        <w:t>5</w:t>
      </w:r>
      <w:r w:rsidR="00175AD7" w:rsidRPr="00B93F5B">
        <w:rPr>
          <w:sz w:val="28"/>
          <w:szCs w:val="28"/>
        </w:rPr>
        <w:t>.</w:t>
      </w:r>
      <w:r w:rsidR="00C4469E">
        <w:rPr>
          <w:sz w:val="28"/>
          <w:szCs w:val="28"/>
        </w:rPr>
        <w:t>03</w:t>
      </w:r>
      <w:r w:rsidR="00842BAF" w:rsidRPr="00B93F5B">
        <w:rPr>
          <w:sz w:val="28"/>
          <w:szCs w:val="28"/>
        </w:rPr>
        <w:t>.202</w:t>
      </w:r>
      <w:r w:rsidR="00C4469E">
        <w:rPr>
          <w:sz w:val="28"/>
          <w:szCs w:val="28"/>
        </w:rPr>
        <w:t>5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>Зона предназначена для размещения отвода железной дороги, а также объектов капитального строительства, необходимых для обеспечения железнодорожного движения.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Виды разрешенного использования земельных участков: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  </w:t>
      </w:r>
    </w:p>
    <w:tbl>
      <w:tblPr>
        <w:tblW w:w="1034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5244"/>
        <w:gridCol w:w="1843"/>
      </w:tblGrid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Наименование вида разрешенного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C4469E">
              <w:rPr>
                <w:sz w:val="28"/>
                <w:szCs w:val="28"/>
              </w:rPr>
              <w:t>пользования</w:t>
            </w:r>
            <w:proofErr w:type="spellEnd"/>
            <w:r w:rsidRPr="00C4469E">
              <w:rPr>
                <w:sz w:val="28"/>
                <w:szCs w:val="28"/>
              </w:rPr>
              <w:t xml:space="preserve"> земельного участка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Код вида </w:t>
            </w:r>
          </w:p>
        </w:tc>
      </w:tr>
      <w:tr w:rsidR="00C4469E" w:rsidRPr="00C4469E" w:rsidTr="00C4469E">
        <w:tc>
          <w:tcPr>
            <w:tcW w:w="10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Предоставление </w:t>
            </w:r>
            <w:r w:rsidRPr="00C4469E">
              <w:rPr>
                <w:sz w:val="28"/>
                <w:szCs w:val="28"/>
              </w:rPr>
              <w:lastRenderedPageBreak/>
              <w:t xml:space="preserve">коммунальных услуг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lastRenderedPageBreak/>
              <w:t xml:space="preserve">Размещение зданий и сооружений, </w:t>
            </w:r>
            <w:r w:rsidRPr="00C4469E">
              <w:rPr>
                <w:sz w:val="28"/>
                <w:szCs w:val="28"/>
              </w:rPr>
              <w:lastRenderedPageBreak/>
              <w:t xml:space="preserve"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6" w:history="1">
              <w:r w:rsidR="00C4469E" w:rsidRPr="00C4469E">
                <w:rPr>
                  <w:rStyle w:val="ad"/>
                  <w:sz w:val="28"/>
                  <w:szCs w:val="28"/>
                </w:rPr>
                <w:t>3.1.1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7" w:history="1">
              <w:r w:rsidRPr="00C4469E">
                <w:rPr>
                  <w:rStyle w:val="ad"/>
                  <w:sz w:val="28"/>
                  <w:szCs w:val="28"/>
                </w:rPr>
                <w:t>3.0</w:t>
              </w:r>
            </w:hyperlink>
            <w:r w:rsidRPr="00C4469E">
              <w:rPr>
                <w:sz w:val="28"/>
                <w:szCs w:val="28"/>
              </w:rPr>
              <w:t xml:space="preserve">, </w:t>
            </w:r>
            <w:hyperlink r:id="rId8" w:history="1">
              <w:r w:rsidRPr="00C4469E">
                <w:rPr>
                  <w:rStyle w:val="ad"/>
                  <w:sz w:val="28"/>
                  <w:szCs w:val="28"/>
                </w:rPr>
                <w:t>4.0</w:t>
              </w:r>
            </w:hyperlink>
            <w:r w:rsidRPr="00C4469E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9" w:history="1">
              <w:r w:rsidR="00C4469E" w:rsidRPr="00C4469E">
                <w:rPr>
                  <w:rStyle w:val="ad"/>
                  <w:sz w:val="28"/>
                  <w:szCs w:val="28"/>
                </w:rPr>
                <w:t>4.9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0" w:history="1">
              <w:r w:rsidR="00C4469E" w:rsidRPr="00C4469E">
                <w:rPr>
                  <w:rStyle w:val="ad"/>
                  <w:sz w:val="28"/>
                  <w:szCs w:val="28"/>
                </w:rPr>
                <w:t>6.9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1" w:history="1">
              <w:r w:rsidR="00C4469E" w:rsidRPr="00C4469E">
                <w:rPr>
                  <w:rStyle w:val="ad"/>
                  <w:sz w:val="28"/>
                  <w:szCs w:val="28"/>
                </w:rPr>
                <w:t>6.9.1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Железнодорожные пути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железнодорожных путей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2" w:history="1">
              <w:r w:rsidR="00C4469E" w:rsidRPr="00C4469E">
                <w:rPr>
                  <w:rStyle w:val="ad"/>
                  <w:sz w:val="28"/>
                  <w:szCs w:val="28"/>
                </w:rPr>
                <w:t>7.1.1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Обслуживание железнодорожных перевозок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</w:t>
            </w:r>
            <w:r w:rsidRPr="00C4469E">
              <w:rPr>
                <w:sz w:val="28"/>
                <w:szCs w:val="28"/>
              </w:rPr>
              <w:lastRenderedPageBreak/>
              <w:t xml:space="preserve">реконструкции, ремонта наземных и подземных зданий, сооружений, устройств и других объектов железнодорожного транспорта; </w:t>
            </w:r>
          </w:p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3" w:history="1">
              <w:r w:rsidR="00C4469E" w:rsidRPr="00C4469E">
                <w:rPr>
                  <w:rStyle w:val="ad"/>
                  <w:sz w:val="28"/>
                  <w:szCs w:val="28"/>
                </w:rPr>
                <w:t>7.1.2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4" w:history="1">
              <w:r w:rsidR="00C4469E" w:rsidRPr="00C4469E">
                <w:rPr>
                  <w:rStyle w:val="ad"/>
                  <w:sz w:val="28"/>
                  <w:szCs w:val="28"/>
                </w:rPr>
                <w:t>7.5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4469E">
              <w:rPr>
                <w:sz w:val="28"/>
                <w:szCs w:val="28"/>
              </w:rPr>
              <w:t>велотранспортной</w:t>
            </w:r>
            <w:proofErr w:type="spellEnd"/>
            <w:r w:rsidRPr="00C4469E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15" w:history="1">
              <w:r w:rsidRPr="00C4469E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C4469E">
              <w:rPr>
                <w:sz w:val="28"/>
                <w:szCs w:val="28"/>
              </w:rPr>
              <w:t xml:space="preserve">, </w:t>
            </w:r>
            <w:hyperlink r:id="rId16" w:history="1">
              <w:r w:rsidRPr="00C4469E">
                <w:rPr>
                  <w:rStyle w:val="ad"/>
                  <w:sz w:val="28"/>
                  <w:szCs w:val="28"/>
                </w:rPr>
                <w:t>4.9</w:t>
              </w:r>
            </w:hyperlink>
            <w:r w:rsidRPr="00C4469E">
              <w:rPr>
                <w:sz w:val="28"/>
                <w:szCs w:val="28"/>
              </w:rPr>
              <w:t xml:space="preserve">, </w:t>
            </w:r>
            <w:hyperlink r:id="rId17" w:history="1">
              <w:r w:rsidRPr="00C4469E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C4469E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8" w:history="1">
              <w:r w:rsidR="00C4469E" w:rsidRPr="00C4469E">
                <w:rPr>
                  <w:rStyle w:val="ad"/>
                  <w:sz w:val="28"/>
                  <w:szCs w:val="28"/>
                </w:rPr>
                <w:t>12.0.1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19" w:history="1">
              <w:r w:rsidR="00C4469E" w:rsidRPr="00C4469E">
                <w:rPr>
                  <w:rStyle w:val="ad"/>
                  <w:sz w:val="28"/>
                  <w:szCs w:val="28"/>
                </w:rPr>
                <w:t>12.0.2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10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lastRenderedPageBreak/>
              <w:t xml:space="preserve">Условно разрешенные виды использования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Общественное питание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0" w:history="1">
              <w:r w:rsidR="00C4469E" w:rsidRPr="00C4469E">
                <w:rPr>
                  <w:rStyle w:val="ad"/>
                  <w:sz w:val="28"/>
                  <w:szCs w:val="28"/>
                </w:rPr>
                <w:t>4.6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Связь 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</w:t>
            </w:r>
            <w:hyperlink r:id="rId21" w:history="1">
              <w:r w:rsidRPr="00C4469E">
                <w:rPr>
                  <w:rStyle w:val="ad"/>
                  <w:sz w:val="28"/>
                  <w:szCs w:val="28"/>
                </w:rPr>
                <w:t>3.1.1</w:t>
              </w:r>
            </w:hyperlink>
            <w:r w:rsidRPr="00C4469E">
              <w:rPr>
                <w:sz w:val="28"/>
                <w:szCs w:val="28"/>
              </w:rPr>
              <w:t xml:space="preserve">, </w:t>
            </w:r>
            <w:hyperlink r:id="rId22" w:history="1">
              <w:r w:rsidRPr="00C4469E">
                <w:rPr>
                  <w:rStyle w:val="ad"/>
                  <w:sz w:val="28"/>
                  <w:szCs w:val="28"/>
                </w:rPr>
                <w:t>3.2.3</w:t>
              </w:r>
            </w:hyperlink>
            <w:r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3" w:history="1">
              <w:r w:rsidR="00C4469E" w:rsidRPr="00C4469E">
                <w:rPr>
                  <w:rStyle w:val="ad"/>
                  <w:sz w:val="28"/>
                  <w:szCs w:val="28"/>
                </w:rPr>
                <w:t>6.8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</w:tr>
    </w:tbl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 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1)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24" w:history="1">
        <w:r w:rsidRPr="00C4469E">
          <w:rPr>
            <w:rStyle w:val="ad"/>
            <w:sz w:val="28"/>
            <w:szCs w:val="28"/>
          </w:rPr>
          <w:t>закона</w:t>
        </w:r>
      </w:hyperlink>
      <w:r w:rsidRPr="00C4469E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2) предельное количество этажей зданий, строений, сооружений - не выше 3 этажей.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C4469E" w:rsidRPr="00C4469E" w:rsidRDefault="00C4469E" w:rsidP="00C446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69E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6"/>
        <w:gridCol w:w="2048"/>
        <w:gridCol w:w="2133"/>
        <w:gridCol w:w="2408"/>
      </w:tblGrid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5" w:history="1">
              <w:r w:rsidR="00C4469E" w:rsidRPr="00C4469E">
                <w:rPr>
                  <w:rStyle w:val="ad"/>
                  <w:sz w:val="28"/>
                  <w:szCs w:val="28"/>
                </w:rPr>
                <w:t>3.1.1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100 </w:t>
            </w:r>
            <w:hyperlink r:id="rId26" w:history="1">
              <w:r w:rsidRPr="00C4469E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C4469E">
              <w:rPr>
                <w:sz w:val="28"/>
                <w:szCs w:val="28"/>
              </w:rPr>
              <w:t xml:space="preserve">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7" w:history="1">
              <w:r w:rsidR="00C4469E" w:rsidRPr="00C4469E">
                <w:rPr>
                  <w:rStyle w:val="ad"/>
                  <w:sz w:val="28"/>
                  <w:szCs w:val="28"/>
                </w:rPr>
                <w:t>4.6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60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8" w:history="1">
              <w:r w:rsidR="00C4469E" w:rsidRPr="00C4469E">
                <w:rPr>
                  <w:rStyle w:val="ad"/>
                  <w:sz w:val="28"/>
                  <w:szCs w:val="28"/>
                </w:rPr>
                <w:t>4.9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80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29" w:history="1">
              <w:r w:rsidR="00C4469E" w:rsidRPr="00C4469E">
                <w:rPr>
                  <w:rStyle w:val="ad"/>
                  <w:sz w:val="28"/>
                  <w:szCs w:val="28"/>
                </w:rPr>
                <w:t>6.9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60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30" w:history="1">
              <w:r w:rsidR="00C4469E" w:rsidRPr="00C4469E">
                <w:rPr>
                  <w:rStyle w:val="ad"/>
                  <w:sz w:val="28"/>
                  <w:szCs w:val="28"/>
                </w:rPr>
                <w:t>6.9.1</w:t>
              </w:r>
            </w:hyperlink>
            <w:r w:rsidR="00C4469E" w:rsidRPr="00C4469E">
              <w:rPr>
                <w:sz w:val="28"/>
                <w:szCs w:val="28"/>
              </w:rPr>
              <w:t xml:space="preserve">, </w:t>
            </w:r>
            <w:hyperlink r:id="rId31" w:history="1">
              <w:r w:rsidR="00C4469E" w:rsidRPr="00C4469E">
                <w:rPr>
                  <w:rStyle w:val="ad"/>
                  <w:sz w:val="28"/>
                  <w:szCs w:val="28"/>
                </w:rPr>
                <w:t>7.1.2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50 </w:t>
            </w:r>
          </w:p>
        </w:tc>
      </w:tr>
      <w:tr w:rsidR="00C4469E" w:rsidRPr="00C4469E" w:rsidTr="00C446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1D37B3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hyperlink r:id="rId32" w:history="1">
              <w:r w:rsidR="00C4469E" w:rsidRPr="00C4469E">
                <w:rPr>
                  <w:rStyle w:val="ad"/>
                  <w:sz w:val="28"/>
                  <w:szCs w:val="28"/>
                </w:rPr>
                <w:t>6.8</w:t>
              </w:r>
            </w:hyperlink>
            <w:r w:rsidR="00C4469E" w:rsidRPr="00C4469E">
              <w:rPr>
                <w:sz w:val="28"/>
                <w:szCs w:val="28"/>
              </w:rPr>
              <w:t xml:space="preserve">, </w:t>
            </w:r>
            <w:hyperlink r:id="rId33" w:history="1">
              <w:r w:rsidR="00C4469E" w:rsidRPr="00C4469E">
                <w:rPr>
                  <w:rStyle w:val="ad"/>
                  <w:sz w:val="28"/>
                  <w:szCs w:val="28"/>
                </w:rPr>
                <w:t>7.1.1</w:t>
              </w:r>
            </w:hyperlink>
            <w:r w:rsidR="00C4469E" w:rsidRPr="00C4469E">
              <w:rPr>
                <w:sz w:val="28"/>
                <w:szCs w:val="28"/>
              </w:rPr>
              <w:t xml:space="preserve">, </w:t>
            </w:r>
            <w:hyperlink r:id="rId34" w:history="1">
              <w:r w:rsidR="00C4469E" w:rsidRPr="00C4469E">
                <w:rPr>
                  <w:rStyle w:val="ad"/>
                  <w:sz w:val="28"/>
                  <w:szCs w:val="28"/>
                </w:rPr>
                <w:t>7.5</w:t>
              </w:r>
            </w:hyperlink>
            <w:r w:rsidR="00C4469E" w:rsidRPr="00C4469E">
              <w:rPr>
                <w:sz w:val="28"/>
                <w:szCs w:val="28"/>
              </w:rPr>
              <w:t xml:space="preserve">, </w:t>
            </w:r>
            <w:hyperlink r:id="rId35" w:history="1">
              <w:r w:rsidR="00C4469E" w:rsidRPr="00C4469E">
                <w:rPr>
                  <w:rStyle w:val="ad"/>
                  <w:sz w:val="28"/>
                  <w:szCs w:val="28"/>
                </w:rPr>
                <w:t>12.0.1</w:t>
              </w:r>
            </w:hyperlink>
            <w:r w:rsidR="00C4469E" w:rsidRPr="00C4469E">
              <w:rPr>
                <w:sz w:val="28"/>
                <w:szCs w:val="28"/>
              </w:rPr>
              <w:t xml:space="preserve">, </w:t>
            </w:r>
            <w:hyperlink r:id="rId36" w:history="1">
              <w:r w:rsidR="00C4469E" w:rsidRPr="00C4469E">
                <w:rPr>
                  <w:rStyle w:val="ad"/>
                  <w:sz w:val="28"/>
                  <w:szCs w:val="28"/>
                </w:rPr>
                <w:t>12.0.2</w:t>
              </w:r>
            </w:hyperlink>
            <w:r w:rsidR="00C4469E" w:rsidRPr="00C446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469E" w:rsidRPr="00C4469E" w:rsidRDefault="00C4469E" w:rsidP="00C4469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C4469E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37" w:history="1">
              <w:r w:rsidRPr="00C4469E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C4469E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сетям и технические условия,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866528">
        <w:rPr>
          <w:sz w:val="28"/>
          <w:szCs w:val="28"/>
        </w:rPr>
        <w:t>31</w:t>
      </w:r>
      <w:r w:rsidR="008A4256">
        <w:rPr>
          <w:sz w:val="28"/>
          <w:szCs w:val="28"/>
        </w:rPr>
        <w:t>.0</w:t>
      </w:r>
      <w:r w:rsidR="00866528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F00BA3">
        <w:rPr>
          <w:sz w:val="28"/>
          <w:szCs w:val="28"/>
        </w:rPr>
        <w:t>4</w:t>
      </w:r>
      <w:r>
        <w:rPr>
          <w:sz w:val="28"/>
          <w:szCs w:val="28"/>
        </w:rPr>
        <w:t xml:space="preserve"> г. приложение № 7).</w:t>
      </w:r>
    </w:p>
    <w:p w:rsidR="00842BAF" w:rsidRPr="00CA7B6A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отказывает по предоставлению в выдаче технических условий для присоединения объекта капитального строительства к сетям инженерно-технического обеспечения, т.к. отсутствует возможность подключения вышеуказанного объекта к централизованной системе водоснабжения и водоотведения.     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38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39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Одновременно с заявкой на участие в торгах Претенденты представляют следующие документы в форме электронных документов либо образов документов </w:t>
      </w:r>
      <w:r w:rsidRPr="008D5CAF">
        <w:rPr>
          <w:bCs/>
          <w:color w:val="000000"/>
          <w:sz w:val="28"/>
          <w:szCs w:val="28"/>
        </w:rPr>
        <w:lastRenderedPageBreak/>
        <w:t>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</w:t>
      </w:r>
      <w:r w:rsidRPr="008D5CAF">
        <w:rPr>
          <w:sz w:val="28"/>
          <w:szCs w:val="28"/>
        </w:rPr>
        <w:lastRenderedPageBreak/>
        <w:t>Российской Федерации для размещения информации о проведении торгов (</w:t>
      </w:r>
      <w:hyperlink r:id="rId40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</w:t>
      </w:r>
      <w:r w:rsidRPr="008D5CAF">
        <w:rPr>
          <w:sz w:val="28"/>
          <w:szCs w:val="28"/>
        </w:rPr>
        <w:lastRenderedPageBreak/>
        <w:t xml:space="preserve">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</w:t>
      </w:r>
      <w:r w:rsidRPr="008D5CAF">
        <w:rPr>
          <w:sz w:val="28"/>
          <w:szCs w:val="28"/>
        </w:rPr>
        <w:lastRenderedPageBreak/>
        <w:t xml:space="preserve">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7154C8" w:rsidRPr="007154C8" w:rsidRDefault="007154C8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7154C8">
        <w:rPr>
          <w:sz w:val="28"/>
          <w:szCs w:val="28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:rsidR="007154C8" w:rsidRDefault="007154C8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4C8">
        <w:rPr>
          <w:sz w:val="28"/>
          <w:szCs w:val="28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</w:t>
      </w:r>
      <w:r>
        <w:rPr>
          <w:sz w:val="28"/>
          <w:szCs w:val="28"/>
        </w:rPr>
        <w:t>.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41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1D37B3">
        <w:rPr>
          <w:color w:val="FF0000"/>
          <w:spacing w:val="-7"/>
          <w:sz w:val="28"/>
          <w:szCs w:val="28"/>
        </w:rPr>
        <w:t>3</w:t>
      </w:r>
      <w:r w:rsidR="006C3F13">
        <w:rPr>
          <w:color w:val="FF0000"/>
          <w:spacing w:val="-7"/>
          <w:sz w:val="28"/>
          <w:szCs w:val="28"/>
        </w:rPr>
        <w:t xml:space="preserve"> </w:t>
      </w:r>
      <w:r w:rsidR="002E2168">
        <w:rPr>
          <w:color w:val="FF0000"/>
          <w:spacing w:val="-7"/>
          <w:sz w:val="28"/>
          <w:szCs w:val="28"/>
        </w:rPr>
        <w:t>апреля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6C3F13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2E2168" w:rsidRPr="002E2168">
        <w:rPr>
          <w:sz w:val="28"/>
          <w:szCs w:val="28"/>
        </w:rPr>
        <w:t>15</w:t>
      </w:r>
      <w:r w:rsidR="00B93F5B" w:rsidRPr="002E2168">
        <w:rPr>
          <w:sz w:val="28"/>
          <w:szCs w:val="28"/>
        </w:rPr>
        <w:t>.</w:t>
      </w:r>
      <w:r w:rsidR="006C3F13">
        <w:rPr>
          <w:sz w:val="28"/>
          <w:szCs w:val="28"/>
        </w:rPr>
        <w:t>0</w:t>
      </w:r>
      <w:r w:rsidR="002E2168">
        <w:rPr>
          <w:sz w:val="28"/>
          <w:szCs w:val="28"/>
        </w:rPr>
        <w:t>3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с </w:t>
      </w:r>
      <w:r w:rsidR="006C3F13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1D37B3">
        <w:rPr>
          <w:sz w:val="28"/>
          <w:szCs w:val="28"/>
        </w:rPr>
        <w:t>01</w:t>
      </w:r>
      <w:r w:rsidR="000470E3" w:rsidRPr="000470E3">
        <w:rPr>
          <w:sz w:val="28"/>
          <w:szCs w:val="28"/>
        </w:rPr>
        <w:t>.</w:t>
      </w:r>
      <w:r w:rsidR="006C3F13">
        <w:rPr>
          <w:sz w:val="28"/>
          <w:szCs w:val="28"/>
        </w:rPr>
        <w:t>0</w:t>
      </w:r>
      <w:r w:rsidR="001D37B3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0470E3" w:rsidRPr="000470E3">
        <w:rPr>
          <w:sz w:val="28"/>
          <w:szCs w:val="28"/>
        </w:rPr>
        <w:t xml:space="preserve"> до </w:t>
      </w:r>
      <w:r w:rsidR="006C3F13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1D37B3">
        <w:rPr>
          <w:sz w:val="28"/>
          <w:szCs w:val="28"/>
        </w:rPr>
        <w:t>02</w:t>
      </w:r>
      <w:r w:rsidR="00B93F5B">
        <w:rPr>
          <w:sz w:val="28"/>
          <w:szCs w:val="28"/>
        </w:rPr>
        <w:t>.</w:t>
      </w:r>
      <w:r w:rsidR="006C3F13">
        <w:rPr>
          <w:sz w:val="28"/>
          <w:szCs w:val="28"/>
        </w:rPr>
        <w:t>0</w:t>
      </w:r>
      <w:r w:rsidR="001D37B3">
        <w:rPr>
          <w:sz w:val="28"/>
          <w:szCs w:val="28"/>
        </w:rPr>
        <w:t>4</w:t>
      </w:r>
      <w:r w:rsidR="00202938">
        <w:rPr>
          <w:sz w:val="28"/>
          <w:szCs w:val="28"/>
        </w:rPr>
        <w:t>.202</w:t>
      </w:r>
      <w:r w:rsidR="006C3F13">
        <w:rPr>
          <w:sz w:val="28"/>
          <w:szCs w:val="28"/>
        </w:rPr>
        <w:t>5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</w:t>
      </w:r>
      <w:bookmarkStart w:id="0" w:name="_GoBack"/>
      <w:bookmarkEnd w:id="0"/>
      <w:r w:rsidR="00755FF9" w:rsidRPr="00B206C8">
        <w:rPr>
          <w:sz w:val="28"/>
          <w:szCs w:val="28"/>
        </w:rPr>
        <w:t>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2E2168" w:rsidRPr="002E2168" w:rsidRDefault="002E2168" w:rsidP="002E216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</w:t>
      </w:r>
    </w:p>
    <w:p w:rsidR="002E2168" w:rsidRPr="003F5849" w:rsidRDefault="002E2168" w:rsidP="002E216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</w:t>
      </w:r>
      <w:r w:rsidR="007154C8" w:rsidRPr="007154C8">
        <w:rPr>
          <w:spacing w:val="-8"/>
          <w:sz w:val="28"/>
          <w:szCs w:val="28"/>
        </w:rPr>
        <w:t xml:space="preserve">По результатам проведения электронного аукциона договор аренды </w:t>
      </w:r>
      <w:r w:rsidR="007154C8">
        <w:rPr>
          <w:spacing w:val="-8"/>
          <w:sz w:val="28"/>
          <w:szCs w:val="28"/>
        </w:rPr>
        <w:t>земельного</w:t>
      </w:r>
      <w:r w:rsidR="007154C8" w:rsidRPr="007154C8">
        <w:rPr>
          <w:spacing w:val="-8"/>
          <w:sz w:val="28"/>
          <w:szCs w:val="28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lastRenderedPageBreak/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42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43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7154C8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</w:t>
      </w:r>
      <w:r w:rsidR="007154C8">
        <w:rPr>
          <w:sz w:val="28"/>
          <w:szCs w:val="28"/>
        </w:rPr>
        <w:t xml:space="preserve">       </w:t>
      </w:r>
      <w:r w:rsidR="00F734A6">
        <w:rPr>
          <w:sz w:val="28"/>
          <w:szCs w:val="28"/>
        </w:rPr>
        <w:t xml:space="preserve">     </w:t>
      </w:r>
      <w:r w:rsidR="007154C8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755FF9" w:rsidRDefault="00755FF9" w:rsidP="00755FF9">
      <w:pPr>
        <w:rPr>
          <w:sz w:val="24"/>
          <w:szCs w:val="24"/>
        </w:rPr>
      </w:pPr>
    </w:p>
    <w:sectPr w:rsid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20215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1D37B3"/>
    <w:rsid w:val="00202938"/>
    <w:rsid w:val="002278D3"/>
    <w:rsid w:val="00232C6C"/>
    <w:rsid w:val="002828A8"/>
    <w:rsid w:val="00286708"/>
    <w:rsid w:val="002A22E9"/>
    <w:rsid w:val="002D6B87"/>
    <w:rsid w:val="002E19DC"/>
    <w:rsid w:val="002E2168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7112C"/>
    <w:rsid w:val="004950D0"/>
    <w:rsid w:val="00515002"/>
    <w:rsid w:val="00520E46"/>
    <w:rsid w:val="00521B57"/>
    <w:rsid w:val="00546161"/>
    <w:rsid w:val="00556833"/>
    <w:rsid w:val="005845E5"/>
    <w:rsid w:val="00586277"/>
    <w:rsid w:val="00611491"/>
    <w:rsid w:val="00656377"/>
    <w:rsid w:val="006C3F13"/>
    <w:rsid w:val="006E436A"/>
    <w:rsid w:val="007154C8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C5E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4469E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9A63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23603&amp;dst=100373&amp;field=134&amp;date=14.03.2025" TargetMode="External"/><Relationship Id="rId18" Type="http://schemas.openxmlformats.org/officeDocument/2006/relationships/hyperlink" Target="https://login.consultant.ru/link/?req=doc&amp;base=LAW&amp;n=423603&amp;dst=100460&amp;field=134&amp;date=14.03.2025" TargetMode="External"/><Relationship Id="rId26" Type="http://schemas.openxmlformats.org/officeDocument/2006/relationships/hyperlink" Target="https://login.consultant.ru/link/?req=doc&amp;base=RLAW117&amp;n=61964&amp;dst=106021&amp;field=134&amp;date=14.03.2025" TargetMode="External"/><Relationship Id="rId39" Type="http://schemas.openxmlformats.org/officeDocument/2006/relationships/hyperlink" Target="mailto:iSupport@rts-tender.ru" TargetMode="External"/><Relationship Id="rId21" Type="http://schemas.openxmlformats.org/officeDocument/2006/relationships/hyperlink" Target="https://login.consultant.ru/link/?req=doc&amp;base=LAW&amp;n=423603&amp;dst=100118&amp;field=134&amp;date=14.03.2025" TargetMode="External"/><Relationship Id="rId34" Type="http://schemas.openxmlformats.org/officeDocument/2006/relationships/hyperlink" Target="https://login.consultant.ru/link/?req=doc&amp;base=LAW&amp;n=423603&amp;dst=100394&amp;field=134&amp;date=14.03.2025" TargetMode="External"/><Relationship Id="rId42" Type="http://schemas.openxmlformats.org/officeDocument/2006/relationships/hyperlink" Target="https://kumimgo.ru/" TargetMode="External"/><Relationship Id="rId7" Type="http://schemas.openxmlformats.org/officeDocument/2006/relationships/hyperlink" Target="https://login.consultant.ru/link/?req=doc&amp;base=LAW&amp;n=423603&amp;dst=100112&amp;field=134&amp;date=14.03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3603&amp;dst=100250&amp;field=134&amp;date=14.03.2025" TargetMode="External"/><Relationship Id="rId29" Type="http://schemas.openxmlformats.org/officeDocument/2006/relationships/hyperlink" Target="https://login.consultant.ru/link/?req=doc&amp;base=LAW&amp;n=423603&amp;dst=100349&amp;field=134&amp;date=14.03.202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118&amp;field=134&amp;date=14.03.2025" TargetMode="External"/><Relationship Id="rId11" Type="http://schemas.openxmlformats.org/officeDocument/2006/relationships/hyperlink" Target="https://login.consultant.ru/link/?req=doc&amp;base=LAW&amp;n=423603&amp;dst=100352&amp;field=134&amp;date=14.03.2025" TargetMode="External"/><Relationship Id="rId24" Type="http://schemas.openxmlformats.org/officeDocument/2006/relationships/hyperlink" Target="https://login.consultant.ru/link/?req=doc&amp;base=LAW&amp;n=465775&amp;date=14.03.2025" TargetMode="External"/><Relationship Id="rId32" Type="http://schemas.openxmlformats.org/officeDocument/2006/relationships/hyperlink" Target="https://login.consultant.ru/link/?req=doc&amp;base=LAW&amp;n=423603&amp;dst=100346&amp;field=134&amp;date=14.03.2025" TargetMode="External"/><Relationship Id="rId37" Type="http://schemas.openxmlformats.org/officeDocument/2006/relationships/hyperlink" Target="https://login.consultant.ru/link/?req=doc&amp;base=LAW&amp;n=481298&amp;dst=100585&amp;field=134&amp;date=14.03.2025" TargetMode="External"/><Relationship Id="rId40" Type="http://schemas.openxmlformats.org/officeDocument/2006/relationships/hyperlink" Target="https://torgi.gov.ru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23603&amp;dst=100109&amp;field=134&amp;date=14.03.2025" TargetMode="External"/><Relationship Id="rId23" Type="http://schemas.openxmlformats.org/officeDocument/2006/relationships/hyperlink" Target="https://login.consultant.ru/link/?req=doc&amp;base=LAW&amp;n=423603&amp;dst=100346&amp;field=134&amp;date=14.03.2025" TargetMode="External"/><Relationship Id="rId28" Type="http://schemas.openxmlformats.org/officeDocument/2006/relationships/hyperlink" Target="https://login.consultant.ru/link/?req=doc&amp;base=LAW&amp;n=423603&amp;dst=100250&amp;field=134&amp;date=14.03.2025" TargetMode="External"/><Relationship Id="rId36" Type="http://schemas.openxmlformats.org/officeDocument/2006/relationships/hyperlink" Target="https://login.consultant.ru/link/?req=doc&amp;base=LAW&amp;n=423603&amp;dst=100463&amp;field=134&amp;date=14.03.2025" TargetMode="External"/><Relationship Id="rId10" Type="http://schemas.openxmlformats.org/officeDocument/2006/relationships/hyperlink" Target="https://login.consultant.ru/link/?req=doc&amp;base=LAW&amp;n=423603&amp;dst=100349&amp;field=134&amp;date=14.03.2025" TargetMode="External"/><Relationship Id="rId19" Type="http://schemas.openxmlformats.org/officeDocument/2006/relationships/hyperlink" Target="https://login.consultant.ru/link/?req=doc&amp;base=LAW&amp;n=423603&amp;dst=100463&amp;field=134&amp;date=14.03.2025" TargetMode="External"/><Relationship Id="rId31" Type="http://schemas.openxmlformats.org/officeDocument/2006/relationships/hyperlink" Target="https://login.consultant.ru/link/?req=doc&amp;base=LAW&amp;n=423603&amp;dst=100373&amp;field=134&amp;date=14.03.2025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250&amp;field=134&amp;date=14.03.2025" TargetMode="External"/><Relationship Id="rId14" Type="http://schemas.openxmlformats.org/officeDocument/2006/relationships/hyperlink" Target="https://login.consultant.ru/link/?req=doc&amp;base=LAW&amp;n=423603&amp;dst=100394&amp;field=134&amp;date=14.03.2025" TargetMode="External"/><Relationship Id="rId22" Type="http://schemas.openxmlformats.org/officeDocument/2006/relationships/hyperlink" Target="https://login.consultant.ru/link/?req=doc&amp;base=LAW&amp;n=423603&amp;dst=100133&amp;field=134&amp;date=14.03.2025" TargetMode="External"/><Relationship Id="rId27" Type="http://schemas.openxmlformats.org/officeDocument/2006/relationships/hyperlink" Target="https://login.consultant.ru/link/?req=doc&amp;base=LAW&amp;n=423603&amp;dst=100232&amp;field=134&amp;date=14.03.2025" TargetMode="External"/><Relationship Id="rId30" Type="http://schemas.openxmlformats.org/officeDocument/2006/relationships/hyperlink" Target="https://login.consultant.ru/link/?req=doc&amp;base=LAW&amp;n=423603&amp;dst=100352&amp;field=134&amp;date=14.03.2025" TargetMode="External"/><Relationship Id="rId35" Type="http://schemas.openxmlformats.org/officeDocument/2006/relationships/hyperlink" Target="https://login.consultant.ru/link/?req=doc&amp;base=LAW&amp;n=423603&amp;dst=100460&amp;field=134&amp;date=14.03.2025" TargetMode="External"/><Relationship Id="rId43" Type="http://schemas.openxmlformats.org/officeDocument/2006/relationships/hyperlink" Target="mailto:Kumi.myski@gmail.com" TargetMode="External"/><Relationship Id="rId8" Type="http://schemas.openxmlformats.org/officeDocument/2006/relationships/hyperlink" Target="https://login.consultant.ru/link/?req=doc&amp;base=LAW&amp;n=423603&amp;dst=100214&amp;field=134&amp;date=14.03.2025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370&amp;field=134&amp;date=14.03.2025" TargetMode="External"/><Relationship Id="rId17" Type="http://schemas.openxmlformats.org/officeDocument/2006/relationships/hyperlink" Target="https://login.consultant.ru/link/?req=doc&amp;base=LAW&amp;n=423603&amp;dst=100385&amp;field=134&amp;date=14.03.2025" TargetMode="External"/><Relationship Id="rId25" Type="http://schemas.openxmlformats.org/officeDocument/2006/relationships/hyperlink" Target="https://login.consultant.ru/link/?req=doc&amp;base=LAW&amp;n=423603&amp;dst=100118&amp;field=134&amp;date=14.03.2025" TargetMode="External"/><Relationship Id="rId33" Type="http://schemas.openxmlformats.org/officeDocument/2006/relationships/hyperlink" Target="https://login.consultant.ru/link/?req=doc&amp;base=LAW&amp;n=423603&amp;dst=100370&amp;field=134&amp;date=14.03.2025" TargetMode="External"/><Relationship Id="rId38" Type="http://schemas.openxmlformats.org/officeDocument/2006/relationships/hyperlink" Target="http://www.rts-tender.ru" TargetMode="External"/><Relationship Id="rId20" Type="http://schemas.openxmlformats.org/officeDocument/2006/relationships/hyperlink" Target="https://login.consultant.ru/link/?req=doc&amp;base=LAW&amp;n=423603&amp;dst=100232&amp;field=134&amp;date=14.03.2025" TargetMode="External"/><Relationship Id="rId41" Type="http://schemas.openxmlformats.org/officeDocument/2006/relationships/hyperlink" Target="https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B5234-A269-4D54-AA07-D7E636AB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10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27</cp:revision>
  <cp:lastPrinted>2024-11-02T04:20:00Z</cp:lastPrinted>
  <dcterms:created xsi:type="dcterms:W3CDTF">2021-08-19T03:16:00Z</dcterms:created>
  <dcterms:modified xsi:type="dcterms:W3CDTF">2025-03-14T07:13:00Z</dcterms:modified>
</cp:coreProperties>
</file>