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954810">
        <w:rPr>
          <w:sz w:val="28"/>
          <w:szCs w:val="28"/>
        </w:rPr>
        <w:t xml:space="preserve">от </w:t>
      </w:r>
      <w:r w:rsidR="00F232D9" w:rsidRPr="00954810">
        <w:rPr>
          <w:sz w:val="28"/>
          <w:szCs w:val="28"/>
        </w:rPr>
        <w:t>21</w:t>
      </w:r>
      <w:r w:rsidR="00461E70" w:rsidRPr="00954810">
        <w:rPr>
          <w:sz w:val="28"/>
          <w:szCs w:val="28"/>
        </w:rPr>
        <w:t xml:space="preserve"> </w:t>
      </w:r>
      <w:r w:rsidR="00F232D9" w:rsidRPr="00954810">
        <w:rPr>
          <w:sz w:val="28"/>
          <w:szCs w:val="28"/>
        </w:rPr>
        <w:t>февраля</w:t>
      </w:r>
      <w:r w:rsidRPr="00954810">
        <w:rPr>
          <w:sz w:val="28"/>
          <w:szCs w:val="28"/>
        </w:rPr>
        <w:t xml:space="preserve"> № </w:t>
      </w:r>
      <w:r w:rsidR="00F232D9" w:rsidRPr="00954810">
        <w:rPr>
          <w:sz w:val="28"/>
          <w:szCs w:val="28"/>
        </w:rPr>
        <w:t>46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 (далее – Комитет) объявляет о проведении торгов по продаже права на заключение договора аренды </w:t>
      </w:r>
      <w:r>
        <w:rPr>
          <w:sz w:val="28"/>
          <w:szCs w:val="28"/>
        </w:rPr>
        <w:t xml:space="preserve">следующих </w:t>
      </w:r>
      <w:r w:rsidRPr="00CD030C">
        <w:rPr>
          <w:sz w:val="28"/>
          <w:szCs w:val="28"/>
        </w:rPr>
        <w:t>земельн</w:t>
      </w:r>
      <w:r>
        <w:rPr>
          <w:sz w:val="28"/>
          <w:szCs w:val="28"/>
        </w:rPr>
        <w:t>ых</w:t>
      </w:r>
      <w:r w:rsidRPr="00CD030C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CD030C">
        <w:rPr>
          <w:sz w:val="28"/>
          <w:szCs w:val="28"/>
        </w:rPr>
        <w:t>:</w:t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кадастровый номер: </w:t>
      </w:r>
      <w:bookmarkStart w:id="0" w:name="_Hlk57291027"/>
      <w:r w:rsidRPr="00835913">
        <w:rPr>
          <w:sz w:val="28"/>
          <w:szCs w:val="28"/>
        </w:rPr>
        <w:t>42:</w:t>
      </w:r>
      <w:r w:rsidR="00F602A3">
        <w:rPr>
          <w:sz w:val="28"/>
          <w:szCs w:val="28"/>
        </w:rPr>
        <w:t>29:</w:t>
      </w:r>
      <w:bookmarkEnd w:id="0"/>
      <w:r w:rsidR="00F232D9">
        <w:rPr>
          <w:sz w:val="28"/>
          <w:szCs w:val="28"/>
        </w:rPr>
        <w:t>0103013</w:t>
      </w:r>
      <w:r w:rsidR="00461E70">
        <w:rPr>
          <w:sz w:val="28"/>
          <w:szCs w:val="28"/>
        </w:rPr>
        <w:t>:</w:t>
      </w:r>
      <w:r w:rsidR="00F232D9">
        <w:rPr>
          <w:sz w:val="28"/>
          <w:szCs w:val="28"/>
        </w:rPr>
        <w:t>4064</w:t>
      </w:r>
      <w:r w:rsidRPr="00650450">
        <w:rPr>
          <w:sz w:val="28"/>
          <w:szCs w:val="28"/>
        </w:rPr>
        <w:t>;</w:t>
      </w:r>
    </w:p>
    <w:p w:rsidR="00755FF9" w:rsidRPr="00830C1D" w:rsidRDefault="00755FF9" w:rsidP="00461E70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A23DB0">
        <w:rPr>
          <w:sz w:val="28"/>
          <w:szCs w:val="28"/>
        </w:rPr>
        <w:t>-</w:t>
      </w:r>
      <w:r w:rsidRPr="00650450">
        <w:rPr>
          <w:sz w:val="28"/>
          <w:szCs w:val="28"/>
        </w:rPr>
        <w:t>местоположение</w:t>
      </w:r>
      <w:r w:rsidRPr="00830C1D">
        <w:rPr>
          <w:sz w:val="28"/>
          <w:szCs w:val="28"/>
        </w:rPr>
        <w:t xml:space="preserve">: </w:t>
      </w:r>
      <w:r w:rsidR="00F232D9" w:rsidRPr="00F232D9">
        <w:rPr>
          <w:rStyle w:val="ad"/>
          <w:color w:val="000000" w:themeColor="text1"/>
          <w:sz w:val="28"/>
          <w:szCs w:val="28"/>
          <w:shd w:val="clear" w:color="auto" w:fill="FFFFFF"/>
        </w:rPr>
        <w:t xml:space="preserve">Российская Федерация, Кемеровская область - Кузбасс, </w:t>
      </w:r>
      <w:proofErr w:type="spellStart"/>
      <w:r w:rsidR="00F232D9" w:rsidRPr="00F232D9">
        <w:rPr>
          <w:rStyle w:val="ad"/>
          <w:color w:val="000000" w:themeColor="text1"/>
          <w:sz w:val="28"/>
          <w:szCs w:val="28"/>
          <w:shd w:val="clear" w:color="auto" w:fill="FFFFFF"/>
        </w:rPr>
        <w:t>Мысковский</w:t>
      </w:r>
      <w:proofErr w:type="spellEnd"/>
      <w:r w:rsidR="00F232D9" w:rsidRPr="00F232D9">
        <w:rPr>
          <w:rStyle w:val="ad"/>
          <w:color w:val="000000" w:themeColor="text1"/>
          <w:sz w:val="28"/>
          <w:szCs w:val="28"/>
          <w:shd w:val="clear" w:color="auto" w:fill="FFFFFF"/>
        </w:rPr>
        <w:t xml:space="preserve"> городской округ, г. Мыски, территория общество «Энергетик», земельный участок 23/1</w:t>
      </w:r>
      <w:r>
        <w:rPr>
          <w:rStyle w:val="ad"/>
          <w:color w:val="000000" w:themeColor="text1"/>
          <w:sz w:val="28"/>
          <w:szCs w:val="28"/>
          <w:shd w:val="clear" w:color="auto" w:fill="FFFFFF"/>
        </w:rPr>
        <w:t>;</w:t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категория земель: земли населенных пунктов; </w:t>
      </w:r>
      <w:r w:rsidRPr="00650450">
        <w:rPr>
          <w:sz w:val="28"/>
          <w:szCs w:val="28"/>
        </w:rPr>
        <w:tab/>
      </w:r>
    </w:p>
    <w:p w:rsidR="00755FF9" w:rsidRPr="00650450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площадь земельного участка: </w:t>
      </w:r>
      <w:r w:rsidR="00461E70">
        <w:rPr>
          <w:sz w:val="28"/>
          <w:szCs w:val="28"/>
        </w:rPr>
        <w:t>60</w:t>
      </w:r>
      <w:r w:rsidRPr="00650450">
        <w:rPr>
          <w:sz w:val="28"/>
          <w:szCs w:val="28"/>
        </w:rPr>
        <w:t xml:space="preserve"> </w:t>
      </w:r>
      <w:proofErr w:type="spellStart"/>
      <w:r w:rsidRPr="00650450">
        <w:rPr>
          <w:bCs/>
          <w:sz w:val="28"/>
          <w:szCs w:val="28"/>
        </w:rPr>
        <w:t>кв.м</w:t>
      </w:r>
      <w:proofErr w:type="spellEnd"/>
      <w:r w:rsidRPr="00650450">
        <w:rPr>
          <w:bCs/>
          <w:sz w:val="28"/>
          <w:szCs w:val="28"/>
        </w:rPr>
        <w:t>.</w:t>
      </w:r>
      <w:r w:rsidRPr="00650450">
        <w:rPr>
          <w:sz w:val="28"/>
          <w:szCs w:val="28"/>
        </w:rPr>
        <w:t>;</w:t>
      </w:r>
    </w:p>
    <w:p w:rsidR="00755FF9" w:rsidRPr="005B1C7F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>- вид разрешенного использования: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232D9" w:rsidRPr="00F232D9">
        <w:rPr>
          <w:color w:val="000000"/>
          <w:sz w:val="28"/>
          <w:szCs w:val="28"/>
          <w:shd w:val="clear" w:color="auto" w:fill="FFFFFF"/>
        </w:rPr>
        <w:t>хранение автотранспорта</w:t>
      </w:r>
      <w:r w:rsidRPr="00830C1D">
        <w:rPr>
          <w:sz w:val="28"/>
          <w:szCs w:val="28"/>
        </w:rPr>
        <w:t>;</w:t>
      </w:r>
    </w:p>
    <w:p w:rsidR="00755FF9" w:rsidRPr="0039785B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F232D9">
        <w:rPr>
          <w:sz w:val="28"/>
          <w:szCs w:val="28"/>
        </w:rPr>
        <w:t>3 000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F232D9">
        <w:rPr>
          <w:sz w:val="28"/>
          <w:szCs w:val="28"/>
        </w:rPr>
        <w:t>три</w:t>
      </w:r>
      <w:r w:rsidR="00461E70" w:rsidRPr="00461E70">
        <w:rPr>
          <w:sz w:val="28"/>
          <w:szCs w:val="28"/>
        </w:rPr>
        <w:t xml:space="preserve"> тысячи</w:t>
      </w:r>
      <w:r w:rsidR="00F232D9">
        <w:rPr>
          <w:sz w:val="28"/>
          <w:szCs w:val="28"/>
        </w:rPr>
        <w:t xml:space="preserve"> </w:t>
      </w:r>
      <w:r w:rsidR="00461E70" w:rsidRPr="00461E70">
        <w:rPr>
          <w:sz w:val="28"/>
          <w:szCs w:val="28"/>
        </w:rPr>
        <w:t>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755FF9" w:rsidRPr="009C59AC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F232D9">
        <w:rPr>
          <w:sz w:val="28"/>
          <w:szCs w:val="28"/>
        </w:rPr>
        <w:t>600</w:t>
      </w:r>
      <w:r w:rsidRPr="009C59AC">
        <w:rPr>
          <w:sz w:val="28"/>
          <w:szCs w:val="28"/>
        </w:rPr>
        <w:t xml:space="preserve"> (</w:t>
      </w:r>
      <w:r w:rsidR="00F232D9">
        <w:rPr>
          <w:sz w:val="28"/>
          <w:szCs w:val="28"/>
        </w:rPr>
        <w:t xml:space="preserve">шестьсот </w:t>
      </w:r>
      <w:r w:rsidR="00461E70" w:rsidRPr="00461E70">
        <w:rPr>
          <w:sz w:val="28"/>
          <w:szCs w:val="28"/>
        </w:rPr>
        <w:t>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755FF9" w:rsidRDefault="00755FF9" w:rsidP="00755FF9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F232D9">
        <w:rPr>
          <w:sz w:val="28"/>
          <w:szCs w:val="28"/>
        </w:rPr>
        <w:t>90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F232D9">
        <w:rPr>
          <w:sz w:val="28"/>
          <w:szCs w:val="28"/>
        </w:rPr>
        <w:t>девяносто</w:t>
      </w:r>
      <w:r w:rsidR="00461E70" w:rsidRPr="00461E70">
        <w:rPr>
          <w:sz w:val="28"/>
          <w:szCs w:val="28"/>
        </w:rPr>
        <w:t xml:space="preserve"> рублей ноль копеек</w:t>
      </w:r>
      <w:r>
        <w:rPr>
          <w:sz w:val="28"/>
          <w:szCs w:val="28"/>
        </w:rPr>
        <w:t xml:space="preserve">) </w:t>
      </w:r>
      <w:r w:rsidRPr="009C59AC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755FF9" w:rsidRDefault="00755FF9" w:rsidP="00755FF9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bookmarkStart w:id="1" w:name="_Hlk57291136"/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F232D9" w:rsidRPr="00954810">
        <w:rPr>
          <w:sz w:val="28"/>
          <w:szCs w:val="28"/>
        </w:rPr>
        <w:t>10</w:t>
      </w:r>
      <w:r w:rsidR="00461E70" w:rsidRPr="00954810">
        <w:rPr>
          <w:sz w:val="28"/>
          <w:szCs w:val="28"/>
        </w:rPr>
        <w:t>.</w:t>
      </w:r>
      <w:r w:rsidR="00F232D9" w:rsidRPr="00954810">
        <w:rPr>
          <w:sz w:val="28"/>
          <w:szCs w:val="28"/>
        </w:rPr>
        <w:t>5</w:t>
      </w:r>
      <w:r w:rsidR="002E19DC" w:rsidRPr="00954810">
        <w:rPr>
          <w:sz w:val="28"/>
          <w:szCs w:val="28"/>
        </w:rPr>
        <w:t>/</w:t>
      </w:r>
      <w:r w:rsidR="00105104" w:rsidRPr="00954810">
        <w:rPr>
          <w:sz w:val="28"/>
          <w:szCs w:val="28"/>
        </w:rPr>
        <w:t>202</w:t>
      </w:r>
      <w:r w:rsidR="00F232D9" w:rsidRPr="00954810">
        <w:rPr>
          <w:sz w:val="28"/>
          <w:szCs w:val="28"/>
        </w:rPr>
        <w:t>5</w:t>
      </w:r>
      <w:r w:rsidR="00F602A3" w:rsidRPr="00954810">
        <w:rPr>
          <w:sz w:val="28"/>
          <w:szCs w:val="28"/>
        </w:rPr>
        <w:t xml:space="preserve"> от </w:t>
      </w:r>
      <w:r w:rsidR="00F232D9" w:rsidRPr="00954810">
        <w:rPr>
          <w:sz w:val="28"/>
          <w:szCs w:val="28"/>
        </w:rPr>
        <w:t>10</w:t>
      </w:r>
      <w:r w:rsidR="00F602A3" w:rsidRPr="00954810">
        <w:rPr>
          <w:sz w:val="28"/>
          <w:szCs w:val="28"/>
        </w:rPr>
        <w:t>.0</w:t>
      </w:r>
      <w:r w:rsidR="00F232D9" w:rsidRPr="00954810">
        <w:rPr>
          <w:sz w:val="28"/>
          <w:szCs w:val="28"/>
        </w:rPr>
        <w:t>2</w:t>
      </w:r>
      <w:r w:rsidRPr="00954810">
        <w:rPr>
          <w:sz w:val="28"/>
          <w:szCs w:val="28"/>
        </w:rPr>
        <w:t>.202</w:t>
      </w:r>
      <w:r w:rsidR="00F232D9" w:rsidRPr="00954810">
        <w:rPr>
          <w:sz w:val="28"/>
          <w:szCs w:val="28"/>
        </w:rPr>
        <w:t>5</w:t>
      </w:r>
      <w:r w:rsidRPr="008747E9">
        <w:rPr>
          <w:color w:val="000000"/>
          <w:sz w:val="28"/>
          <w:szCs w:val="28"/>
        </w:rPr>
        <w:t xml:space="preserve"> г</w:t>
      </w:r>
      <w:r w:rsidR="00105104">
        <w:rPr>
          <w:color w:val="000000"/>
          <w:sz w:val="28"/>
          <w:szCs w:val="28"/>
        </w:rPr>
        <w:t>.,</w:t>
      </w:r>
      <w:r w:rsidR="00105104" w:rsidRPr="00105104">
        <w:t xml:space="preserve"> </w:t>
      </w:r>
      <w:r w:rsidR="00105104" w:rsidRPr="00105104">
        <w:rPr>
          <w:color w:val="000000"/>
          <w:sz w:val="28"/>
          <w:szCs w:val="28"/>
        </w:rPr>
        <w:t xml:space="preserve">подготовленного частнопрактикующим оценщиком </w:t>
      </w:r>
      <w:proofErr w:type="spellStart"/>
      <w:r w:rsidR="00105104" w:rsidRPr="00105104">
        <w:rPr>
          <w:color w:val="000000"/>
          <w:sz w:val="28"/>
          <w:szCs w:val="28"/>
        </w:rPr>
        <w:t>Толстокоровой</w:t>
      </w:r>
      <w:proofErr w:type="spellEnd"/>
      <w:r w:rsidR="00105104" w:rsidRPr="00105104">
        <w:rPr>
          <w:color w:val="000000"/>
          <w:sz w:val="28"/>
          <w:szCs w:val="28"/>
        </w:rPr>
        <w:t xml:space="preserve"> Т.С.</w:t>
      </w:r>
    </w:p>
    <w:bookmarkEnd w:id="1"/>
    <w:p w:rsidR="00755FF9" w:rsidRDefault="00755FF9" w:rsidP="00755FF9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bookmarkStart w:id="2" w:name="Par125"/>
      <w:bookmarkEnd w:id="2"/>
      <w:r w:rsidRPr="00836933">
        <w:rPr>
          <w:sz w:val="28"/>
          <w:szCs w:val="28"/>
        </w:rPr>
        <w:t>Зона предназначена для размещения коммунально-складских комплексов, складов различного назначения, сооружений, имеющих назначение по временному хранению, распределению и перевалке грузов, объектов, выполняющих функции бытового обслуживания населения, - бани, ателье, похоронные бюро, химчистки, прачечные окружного и районного значения; объектов по обслуживанию коммунальной спецтехники и автомобильного транспорта, гаражей, мест сбора вещей для их вторичной переработки; для размещения объектов органов обеспечения внутреннего правопорядка.</w:t>
      </w:r>
    </w:p>
    <w:p w:rsidR="00F232D9" w:rsidRPr="00836933" w:rsidRDefault="00F232D9" w:rsidP="00F232D9">
      <w:pPr>
        <w:spacing w:before="168" w:line="288" w:lineRule="atLeast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Виды разрешенного использования земельных участков: </w:t>
      </w:r>
    </w:p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2"/>
        <w:gridCol w:w="5018"/>
        <w:gridCol w:w="1929"/>
      </w:tblGrid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вида </w:t>
            </w: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Хранение и переработка сельскохозяйственной продукции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сооружений, используемых для производства, хранения, первичной и глубокой переработки сельскохозяйственной продукции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Хранение автотранспорта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836933">
              <w:rPr>
                <w:sz w:val="28"/>
                <w:szCs w:val="28"/>
              </w:rPr>
              <w:t>машино</w:t>
            </w:r>
            <w:proofErr w:type="spellEnd"/>
            <w:r w:rsidRPr="00836933">
              <w:rPr>
                <w:sz w:val="28"/>
                <w:szCs w:val="28"/>
              </w:rPr>
              <w:t xml:space="preserve">-места, за исключением гаражей, размещение которых предусмотрено содержанием вида разрешенного использования с кодом </w:t>
            </w:r>
            <w:hyperlink r:id="rId6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Бытовое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1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1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Приюты для животных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</w:t>
            </w:r>
            <w:r w:rsidRPr="00836933">
              <w:rPr>
                <w:sz w:val="28"/>
                <w:szCs w:val="28"/>
              </w:rPr>
              <w:lastRenderedPageBreak/>
              <w:t xml:space="preserve">оказания ветеринарных услуг в стационаре;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организации гостиниц для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1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1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Магазины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1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15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3.0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16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4.0</w:t>
              </w:r>
            </w:hyperlink>
            <w:r w:rsidRPr="00836933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1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Заправка транспортных средств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1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дорожного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</w:t>
            </w:r>
            <w:r w:rsidRPr="00836933">
              <w:rPr>
                <w:sz w:val="28"/>
                <w:szCs w:val="28"/>
              </w:rPr>
              <w:lastRenderedPageBreak/>
              <w:t xml:space="preserve">питания в качестве объектов дорожного 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1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Автомобильные мойки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автомобильных моек,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2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Ремонт автомобилей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2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2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Складские площадки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2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Стоянки транспорта общего пользования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стоянок транспортных средств, осуществляющих перевозки людей по установленному маршруту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2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Трубопроводный транспорт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2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внутреннего правопорядка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836933">
              <w:rPr>
                <w:sz w:val="28"/>
                <w:szCs w:val="28"/>
              </w:rPr>
              <w:t>Росгвардии</w:t>
            </w:r>
            <w:proofErr w:type="spellEnd"/>
            <w:r w:rsidRPr="00836933">
              <w:rPr>
                <w:sz w:val="28"/>
                <w:szCs w:val="28"/>
              </w:rPr>
              <w:t xml:space="preserve"> и спасательных служб, в которых существует военизированная служба;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гражданской обороны, за исключением объектов </w:t>
            </w:r>
            <w:r w:rsidRPr="00836933">
              <w:rPr>
                <w:sz w:val="28"/>
                <w:szCs w:val="28"/>
              </w:rPr>
              <w:lastRenderedPageBreak/>
              <w:t xml:space="preserve">гражданской обороны, являющихся частями производственных зданий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26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36933">
              <w:rPr>
                <w:sz w:val="28"/>
                <w:szCs w:val="28"/>
              </w:rPr>
              <w:t>велотранспортной</w:t>
            </w:r>
            <w:proofErr w:type="spellEnd"/>
            <w:r w:rsidRPr="00836933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7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28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29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Pr="00836933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3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3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Оборудованные площадки для занятий спортом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3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F232D9" w:rsidRPr="00836933" w:rsidTr="00AA332E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F232D9" w:rsidRPr="00836933" w:rsidRDefault="00F232D9" w:rsidP="00AA332E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3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F232D9" w:rsidRPr="00836933" w:rsidRDefault="00F232D9" w:rsidP="00AA332E">
            <w:pPr>
              <w:rPr>
                <w:sz w:val="28"/>
                <w:szCs w:val="28"/>
              </w:rPr>
            </w:pP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Питомники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</w:t>
            </w:r>
          </w:p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необходимых для указанных видов сельскохозяйственного производства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3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Размещение, хранение, захоронение, утилизация, накопление, обработка, </w:t>
            </w:r>
            <w:r w:rsidRPr="00836933">
              <w:rPr>
                <w:sz w:val="28"/>
                <w:szCs w:val="28"/>
              </w:rPr>
              <w:lastRenderedPageBreak/>
              <w:t xml:space="preserve">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3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F232D9" w:rsidRPr="00836933" w:rsidTr="00AA332E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F232D9" w:rsidRPr="00836933" w:rsidRDefault="00F232D9" w:rsidP="00AA332E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6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F232D9" w:rsidRPr="00836933" w:rsidRDefault="00F232D9" w:rsidP="00AA332E">
            <w:pPr>
              <w:rPr>
                <w:sz w:val="28"/>
                <w:szCs w:val="28"/>
              </w:rPr>
            </w:pPr>
          </w:p>
        </w:tc>
      </w:tr>
    </w:tbl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максимальные показатели плотности застройки земельных участков коммунально-складских зон (СП 42.13330.2011. "Градостроительство. Планировка и застройка городских и сельских поселений", приложение Г):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застройки - 0,6;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плотности застройки - 1,8;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37" w:history="1">
        <w:r w:rsidRPr="00836933">
          <w:rPr>
            <w:color w:val="0000FF"/>
            <w:sz w:val="28"/>
            <w:szCs w:val="28"/>
            <w:u w:val="single"/>
          </w:rPr>
          <w:t>закона</w:t>
        </w:r>
      </w:hyperlink>
      <w:r w:rsidRPr="00836933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предельное количество этажей зданий, строений, сооружений - не выше 4 этажей или 12 метров;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зданий общественного назначения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стен здания пожарного депо до красных линий - 10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836933">
        <w:rPr>
          <w:sz w:val="28"/>
          <w:szCs w:val="28"/>
        </w:rPr>
        <w:t xml:space="preserve">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F232D9" w:rsidRPr="00836933" w:rsidRDefault="00F232D9" w:rsidP="00F232D9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2334"/>
        <w:gridCol w:w="2410"/>
        <w:gridCol w:w="2976"/>
      </w:tblGrid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3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3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4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80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4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6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49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5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3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4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5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56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7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58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 </w:t>
            </w:r>
          </w:p>
        </w:tc>
      </w:tr>
      <w:tr w:rsidR="00F232D9" w:rsidRPr="00836933" w:rsidTr="00AA332E">
        <w:tc>
          <w:tcPr>
            <w:tcW w:w="10199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F232D9" w:rsidRPr="00836933" w:rsidTr="00AA332E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F232D9" w:rsidRPr="00836933" w:rsidRDefault="00F232D9" w:rsidP="00AA332E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(позиция в ред. </w:t>
                  </w:r>
                  <w:hyperlink r:id="rId59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Решения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F232D9" w:rsidRPr="00836933" w:rsidRDefault="00F232D9" w:rsidP="00AA332E">
            <w:pPr>
              <w:rPr>
                <w:sz w:val="28"/>
                <w:szCs w:val="28"/>
              </w:rPr>
            </w:pPr>
          </w:p>
        </w:tc>
      </w:tr>
      <w:tr w:rsidR="00F232D9" w:rsidRPr="00836933" w:rsidTr="00AA33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4D711C" w:rsidP="00AA332E">
            <w:pPr>
              <w:jc w:val="center"/>
              <w:rPr>
                <w:sz w:val="28"/>
                <w:szCs w:val="28"/>
              </w:rPr>
            </w:pPr>
            <w:hyperlink r:id="rId60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61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F232D9" w:rsidRPr="00836933">
              <w:rPr>
                <w:sz w:val="28"/>
                <w:szCs w:val="28"/>
              </w:rPr>
              <w:t xml:space="preserve">, </w:t>
            </w:r>
            <w:hyperlink r:id="rId62" w:history="1">
              <w:r w:rsidR="00F232D9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F232D9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32D9" w:rsidRPr="00836933" w:rsidRDefault="00F232D9" w:rsidP="00AA332E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63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ч. 4 ст. 36</w:t>
              </w:r>
            </w:hyperlink>
            <w:r w:rsidRPr="00836933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bookmarkStart w:id="3" w:name="p134"/>
      <w:bookmarkEnd w:id="3"/>
      <w:r w:rsidRPr="00836933">
        <w:rPr>
          <w:sz w:val="28"/>
          <w:szCs w:val="28"/>
        </w:rPr>
        <w:t xml:space="preserve">размеры земельных участков гаражей и стоянок на одно </w:t>
      </w:r>
      <w:proofErr w:type="spellStart"/>
      <w:r w:rsidRPr="00836933">
        <w:rPr>
          <w:sz w:val="28"/>
          <w:szCs w:val="28"/>
        </w:rPr>
        <w:t>машино</w:t>
      </w:r>
      <w:proofErr w:type="spellEnd"/>
      <w:r w:rsidRPr="00836933">
        <w:rPr>
          <w:sz w:val="28"/>
          <w:szCs w:val="28"/>
        </w:rPr>
        <w:t xml:space="preserve">-место: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легковых автомобилей - от 18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грузовых автомобилей - от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110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станций технического обслуживания автомобилей: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10 постов - 1,0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15 постов - 1,5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4" w:history="1">
        <w:r w:rsidRPr="00836933">
          <w:rPr>
            <w:color w:val="0000FF"/>
            <w:sz w:val="28"/>
            <w:szCs w:val="28"/>
            <w:u w:val="single"/>
          </w:rPr>
          <w:t>таблица 2.24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автозаправочных станций (АЗС):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2 колонки - 0,1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5 колонок - 0,2 га; </w:t>
      </w:r>
    </w:p>
    <w:p w:rsidR="00F232D9" w:rsidRPr="00836933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7 колонок - 0,3 га; </w:t>
      </w:r>
    </w:p>
    <w:p w:rsidR="00F232D9" w:rsidRDefault="00F232D9" w:rsidP="00F232D9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5" w:history="1">
        <w:r w:rsidRPr="00836933">
          <w:rPr>
            <w:color w:val="0000FF"/>
            <w:sz w:val="28"/>
            <w:szCs w:val="28"/>
            <w:u w:val="single"/>
          </w:rPr>
          <w:t>таблица 2.23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2E19DC" w:rsidRDefault="00755FF9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</w:t>
      </w:r>
      <w:r w:rsidR="00AC1CD1">
        <w:rPr>
          <w:sz w:val="28"/>
          <w:szCs w:val="28"/>
        </w:rPr>
        <w:t>.</w:t>
      </w:r>
      <w:r w:rsidR="002E19DC" w:rsidRPr="002E19DC">
        <w:rPr>
          <w:sz w:val="28"/>
          <w:szCs w:val="28"/>
        </w:rPr>
        <w:t xml:space="preserve"> </w:t>
      </w:r>
      <w:r w:rsidR="002E19DC">
        <w:rPr>
          <w:sz w:val="28"/>
          <w:szCs w:val="28"/>
        </w:rPr>
        <w:t xml:space="preserve">ООО «Кузбасская </w:t>
      </w:r>
      <w:proofErr w:type="spellStart"/>
      <w:r w:rsidR="002E19DC">
        <w:rPr>
          <w:sz w:val="28"/>
          <w:szCs w:val="28"/>
        </w:rPr>
        <w:t>энергосетевая</w:t>
      </w:r>
      <w:proofErr w:type="spellEnd"/>
      <w:r w:rsidR="002E19DC">
        <w:rPr>
          <w:sz w:val="28"/>
          <w:szCs w:val="28"/>
        </w:rPr>
        <w:t xml:space="preserve"> компания» филиал «Энергосеть», </w:t>
      </w:r>
      <w:proofErr w:type="spellStart"/>
      <w:r w:rsidR="002E19DC">
        <w:rPr>
          <w:sz w:val="28"/>
          <w:szCs w:val="28"/>
        </w:rPr>
        <w:t>г.</w:t>
      </w:r>
      <w:r w:rsidR="00105104">
        <w:rPr>
          <w:sz w:val="28"/>
          <w:szCs w:val="28"/>
        </w:rPr>
        <w:t>Осинники</w:t>
      </w:r>
      <w:proofErr w:type="spellEnd"/>
      <w:r w:rsidR="002E19DC">
        <w:rPr>
          <w:sz w:val="28"/>
          <w:szCs w:val="28"/>
        </w:rPr>
        <w:t xml:space="preserve"> сообщает, что </w:t>
      </w:r>
      <w:r w:rsidR="00105104">
        <w:rPr>
          <w:sz w:val="28"/>
          <w:szCs w:val="28"/>
        </w:rPr>
        <w:t>п</w:t>
      </w:r>
      <w:r w:rsidR="002E19DC">
        <w:rPr>
          <w:sz w:val="28"/>
          <w:szCs w:val="28"/>
        </w:rPr>
        <w:t xml:space="preserve">роект договора на технологическое присоединение к электрическим сетям и технические условия, а так же расчет технологического присоединения готовится и направляется по заявке заявителя в установленной форме (ПП РФ № 861 от 27.12.04 г. в редакции от </w:t>
      </w:r>
      <w:r w:rsidR="00F232D9">
        <w:rPr>
          <w:sz w:val="28"/>
          <w:szCs w:val="28"/>
        </w:rPr>
        <w:t>01.11</w:t>
      </w:r>
      <w:r w:rsidR="00697DE7">
        <w:rPr>
          <w:sz w:val="28"/>
          <w:szCs w:val="28"/>
        </w:rPr>
        <w:t>.2024</w:t>
      </w:r>
      <w:r w:rsidR="002E19DC">
        <w:rPr>
          <w:sz w:val="28"/>
          <w:szCs w:val="28"/>
        </w:rPr>
        <w:t xml:space="preserve"> г. приложение № 7).</w:t>
      </w:r>
    </w:p>
    <w:p w:rsidR="00755FF9" w:rsidRPr="00697ACB" w:rsidRDefault="00755FF9" w:rsidP="002E19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МКП МГО «Водоканал» согласовывает предоставленный земельный участок, но отказывает по предоставлению в выдаче технических условий для присоединения объекта капитального строительства к сетям инженерно-технического обеспечения, т.к. отсутствует возможность подключения вышеуказанного объекта к </w:t>
      </w:r>
      <w:r w:rsidR="00697DE7">
        <w:rPr>
          <w:sz w:val="28"/>
          <w:szCs w:val="28"/>
        </w:rPr>
        <w:t>существующим сетям</w:t>
      </w:r>
      <w:r>
        <w:rPr>
          <w:sz w:val="28"/>
          <w:szCs w:val="28"/>
        </w:rPr>
        <w:t xml:space="preserve"> водоснабжения и водоотведения.     </w:t>
      </w:r>
    </w:p>
    <w:p w:rsidR="00697DE7" w:rsidRDefault="00697DE7" w:rsidP="00697DE7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округа.</w:t>
      </w:r>
    </w:p>
    <w:p w:rsidR="00697DE7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Pr="006522D6">
        <w:rPr>
          <w:sz w:val="28"/>
          <w:szCs w:val="28"/>
        </w:rPr>
        <w:t xml:space="preserve">открытый </w:t>
      </w:r>
      <w:r>
        <w:rPr>
          <w:sz w:val="28"/>
          <w:szCs w:val="28"/>
        </w:rPr>
        <w:t>электронный</w:t>
      </w:r>
      <w:r w:rsidRPr="006522D6">
        <w:t xml:space="preserve"> </w:t>
      </w:r>
      <w:r w:rsidRPr="006522D6">
        <w:rPr>
          <w:sz w:val="28"/>
          <w:szCs w:val="28"/>
        </w:rPr>
        <w:t>аукцион по продаже права на заключение договора аренды</w:t>
      </w:r>
      <w:r>
        <w:rPr>
          <w:sz w:val="28"/>
          <w:szCs w:val="28"/>
        </w:rPr>
        <w:t xml:space="preserve"> </w:t>
      </w:r>
      <w:r w:rsidRPr="006522D6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6522D6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697DE7" w:rsidRPr="00CD030C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</w:t>
      </w:r>
      <w:r w:rsidR="00AC1CD1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AC1CD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="00AC1CD1">
        <w:rPr>
          <w:b/>
          <w:sz w:val="28"/>
          <w:szCs w:val="28"/>
        </w:rPr>
        <w:t>3 года</w:t>
      </w:r>
      <w:r>
        <w:rPr>
          <w:b/>
          <w:sz w:val="28"/>
          <w:szCs w:val="28"/>
        </w:rPr>
        <w:t>.</w:t>
      </w:r>
    </w:p>
    <w:p w:rsidR="00697DE7" w:rsidRPr="00CD030C" w:rsidRDefault="00697DE7" w:rsidP="00697DE7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697DE7" w:rsidRPr="008D5CAF" w:rsidRDefault="00697DE7" w:rsidP="00697DE7">
      <w:pPr>
        <w:pStyle w:val="af1"/>
        <w:numPr>
          <w:ilvl w:val="0"/>
          <w:numId w:val="28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в электронной форме: оператором торгов выступает ООО «РТС – тендер».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66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67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697DE7" w:rsidRPr="008D5CAF" w:rsidRDefault="00697DE7" w:rsidP="00697DE7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697DE7" w:rsidRPr="008D5CAF" w:rsidRDefault="00697DE7" w:rsidP="00697DE7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697DE7" w:rsidRPr="008D5CAF" w:rsidRDefault="00697DE7" w:rsidP="00697DE7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Претендент вправе повторно подать заявку в порядке, установленном в извещении, при условии отзыва ранее </w:t>
      </w:r>
      <w:proofErr w:type="gramStart"/>
      <w:r w:rsidRPr="008D5CAF">
        <w:rPr>
          <w:bCs/>
          <w:color w:val="000000"/>
          <w:sz w:val="28"/>
          <w:szCs w:val="28"/>
        </w:rPr>
        <w:t>поданной  заявки</w:t>
      </w:r>
      <w:proofErr w:type="gramEnd"/>
      <w:r w:rsidRPr="008D5CAF">
        <w:rPr>
          <w:bCs/>
          <w:color w:val="000000"/>
          <w:sz w:val="28"/>
          <w:szCs w:val="28"/>
        </w:rPr>
        <w:t>.</w:t>
      </w:r>
    </w:p>
    <w:p w:rsidR="00697DE7" w:rsidRPr="008D5CAF" w:rsidRDefault="00697DE7" w:rsidP="00697DE7">
      <w:pPr>
        <w:pStyle w:val="s1"/>
        <w:numPr>
          <w:ilvl w:val="0"/>
          <w:numId w:val="28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697DE7" w:rsidRPr="008D5CAF" w:rsidRDefault="00697DE7" w:rsidP="00697DE7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lastRenderedPageBreak/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697DE7" w:rsidRPr="00866528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697DE7" w:rsidRPr="008D5CAF" w:rsidRDefault="00697DE7" w:rsidP="00697DE7">
      <w:pPr>
        <w:pStyle w:val="af1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697DE7" w:rsidRPr="008D5CAF" w:rsidRDefault="00697DE7" w:rsidP="00697DE7">
      <w:pPr>
        <w:pStyle w:val="af1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 xml:space="preserve">Денежные средства в качестве задатка для участия в аукционе вносятся Претендентом </w:t>
      </w:r>
      <w:proofErr w:type="gramStart"/>
      <w:r w:rsidRPr="008D5CAF">
        <w:rPr>
          <w:rFonts w:ascii="Times New Roman" w:hAnsi="Times New Roman"/>
          <w:color w:val="auto"/>
          <w:sz w:val="28"/>
          <w:szCs w:val="28"/>
        </w:rPr>
        <w:t>по  следующим</w:t>
      </w:r>
      <w:proofErr w:type="gramEnd"/>
      <w:r w:rsidRPr="008D5CAF">
        <w:rPr>
          <w:rFonts w:ascii="Times New Roman" w:hAnsi="Times New Roman"/>
          <w:color w:val="auto"/>
          <w:sz w:val="28"/>
          <w:szCs w:val="28"/>
        </w:rPr>
        <w:t xml:space="preserve"> банковским реквизитам: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697DE7" w:rsidRPr="008D5CAF" w:rsidRDefault="00697DE7" w:rsidP="00697DE7">
      <w:pPr>
        <w:pStyle w:val="af1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697DE7" w:rsidRPr="008D5CAF" w:rsidRDefault="00697DE7" w:rsidP="00697DE7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697DE7" w:rsidRPr="008D5CAF" w:rsidRDefault="00697DE7" w:rsidP="00697DE7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</w:t>
      </w:r>
      <w:proofErr w:type="gramStart"/>
      <w:r w:rsidRPr="008D5CAF">
        <w:rPr>
          <w:sz w:val="28"/>
          <w:szCs w:val="28"/>
        </w:rPr>
        <w:t>допущенным  участию</w:t>
      </w:r>
      <w:proofErr w:type="gramEnd"/>
      <w:r w:rsidRPr="008D5CAF">
        <w:rPr>
          <w:sz w:val="28"/>
          <w:szCs w:val="28"/>
        </w:rPr>
        <w:t xml:space="preserve"> в аукционе. 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68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697DE7" w:rsidRPr="008D5CAF" w:rsidRDefault="00697DE7" w:rsidP="00697DE7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>Аукционная комиссия формируется Организатором аукциона и осуществляет следующие полномочия: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697DE7" w:rsidRPr="00866528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697DE7" w:rsidRPr="008D5CAF" w:rsidRDefault="00697DE7" w:rsidP="00697DE7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697DE7" w:rsidRPr="008D5CAF" w:rsidRDefault="00697DE7" w:rsidP="00697DE7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697DE7" w:rsidRPr="008D5CAF" w:rsidRDefault="00697DE7" w:rsidP="00697DE7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</w:t>
      </w:r>
      <w:r w:rsidRPr="008D5CAF">
        <w:rPr>
          <w:sz w:val="28"/>
          <w:szCs w:val="28"/>
        </w:rPr>
        <w:lastRenderedPageBreak/>
        <w:t xml:space="preserve">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697DE7" w:rsidRPr="008D5CAF" w:rsidRDefault="00697DE7" w:rsidP="00697D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697DE7" w:rsidRPr="008D5CAF" w:rsidRDefault="00697DE7" w:rsidP="00697D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697DE7" w:rsidRPr="008D5CAF" w:rsidRDefault="00697DE7" w:rsidP="00697D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697DE7" w:rsidRPr="008D5CAF" w:rsidRDefault="00697DE7" w:rsidP="00697DE7">
      <w:pPr>
        <w:numPr>
          <w:ilvl w:val="1"/>
          <w:numId w:val="28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697DE7" w:rsidRPr="008D5CAF" w:rsidRDefault="00697DE7" w:rsidP="00697DE7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697DE7" w:rsidRPr="008D5CAF" w:rsidRDefault="00697DE7" w:rsidP="00697DE7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697DE7" w:rsidRPr="008D5CAF" w:rsidRDefault="00697DE7" w:rsidP="00697DE7">
      <w:pPr>
        <w:numPr>
          <w:ilvl w:val="0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</w:t>
      </w:r>
      <w:r w:rsidRPr="008D5CAF">
        <w:rPr>
          <w:sz w:val="28"/>
          <w:szCs w:val="28"/>
        </w:rPr>
        <w:lastRenderedPageBreak/>
        <w:t xml:space="preserve">который сделал предпоследнее предложение о цене Предмета аукциона, по цене, предложенной Победителем аукциона. </w:t>
      </w:r>
    </w:p>
    <w:p w:rsidR="00697DE7" w:rsidRPr="008D5CAF" w:rsidRDefault="00697DE7" w:rsidP="00697DE7">
      <w:pPr>
        <w:numPr>
          <w:ilvl w:val="1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697DE7" w:rsidRPr="008D5CAF" w:rsidRDefault="00697DE7" w:rsidP="00697DE7">
      <w:pPr>
        <w:numPr>
          <w:ilvl w:val="1"/>
          <w:numId w:val="28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697DE7" w:rsidRPr="008D5CAF" w:rsidRDefault="00697DE7" w:rsidP="00697D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69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697DE7" w:rsidRPr="00CD030C" w:rsidRDefault="00697DE7" w:rsidP="00697DE7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F232D9">
        <w:rPr>
          <w:color w:val="FF0000"/>
          <w:spacing w:val="-7"/>
          <w:sz w:val="28"/>
          <w:szCs w:val="28"/>
        </w:rPr>
        <w:t>2</w:t>
      </w:r>
      <w:r>
        <w:rPr>
          <w:color w:val="FF0000"/>
          <w:spacing w:val="-7"/>
          <w:sz w:val="28"/>
          <w:szCs w:val="28"/>
        </w:rPr>
        <w:t xml:space="preserve"> </w:t>
      </w:r>
      <w:r w:rsidR="00F232D9">
        <w:rPr>
          <w:color w:val="FF0000"/>
          <w:spacing w:val="-7"/>
          <w:sz w:val="28"/>
          <w:szCs w:val="28"/>
        </w:rPr>
        <w:t>апреля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 w:rsidR="00F232D9">
        <w:rPr>
          <w:color w:val="FF0000"/>
          <w:spacing w:val="-7"/>
          <w:sz w:val="28"/>
          <w:szCs w:val="28"/>
        </w:rPr>
        <w:t>5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>
        <w:rPr>
          <w:color w:val="FF0000"/>
          <w:spacing w:val="-7"/>
          <w:sz w:val="28"/>
          <w:szCs w:val="28"/>
        </w:rPr>
        <w:t xml:space="preserve"> (местное время) на электронной площадке </w:t>
      </w:r>
      <w:r w:rsidRPr="008D5CAF">
        <w:rPr>
          <w:sz w:val="28"/>
          <w:szCs w:val="28"/>
        </w:rPr>
        <w:t>ООО «РТС-тендер»;</w:t>
      </w:r>
    </w:p>
    <w:p w:rsidR="00697DE7" w:rsidRPr="000470E3" w:rsidRDefault="00697DE7" w:rsidP="00697DE7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Сроки подачи заявок</w:t>
      </w:r>
      <w:r>
        <w:rPr>
          <w:sz w:val="28"/>
          <w:szCs w:val="28"/>
        </w:rPr>
        <w:t xml:space="preserve"> - </w:t>
      </w:r>
      <w:r>
        <w:rPr>
          <w:sz w:val="24"/>
          <w:szCs w:val="24"/>
        </w:rPr>
        <w:t>с</w:t>
      </w:r>
      <w:r w:rsidRPr="00DE4FF2">
        <w:t xml:space="preserve"> </w:t>
      </w:r>
      <w:r w:rsidR="00F232D9" w:rsidRPr="00F232D9">
        <w:rPr>
          <w:sz w:val="28"/>
          <w:szCs w:val="28"/>
        </w:rPr>
        <w:t>27</w:t>
      </w:r>
      <w:r w:rsidRPr="00F232D9">
        <w:rPr>
          <w:sz w:val="28"/>
          <w:szCs w:val="28"/>
        </w:rPr>
        <w:t>.</w:t>
      </w:r>
      <w:r w:rsidR="00F232D9">
        <w:rPr>
          <w:sz w:val="28"/>
          <w:szCs w:val="28"/>
        </w:rPr>
        <w:t>02</w:t>
      </w:r>
      <w:r w:rsidRPr="000470E3">
        <w:rPr>
          <w:sz w:val="28"/>
          <w:szCs w:val="28"/>
        </w:rPr>
        <w:t>.202</w:t>
      </w:r>
      <w:r w:rsidR="00F232D9">
        <w:rPr>
          <w:sz w:val="28"/>
          <w:szCs w:val="28"/>
        </w:rPr>
        <w:t>5</w:t>
      </w:r>
      <w:r w:rsidRPr="000470E3">
        <w:rPr>
          <w:sz w:val="28"/>
          <w:szCs w:val="28"/>
        </w:rPr>
        <w:t xml:space="preserve"> с </w:t>
      </w:r>
      <w:r w:rsidR="00F232D9">
        <w:rPr>
          <w:sz w:val="28"/>
          <w:szCs w:val="28"/>
        </w:rPr>
        <w:t>00</w:t>
      </w:r>
      <w:r w:rsidRPr="000470E3">
        <w:rPr>
          <w:sz w:val="28"/>
          <w:szCs w:val="28"/>
        </w:rPr>
        <w:t>-0</w:t>
      </w:r>
      <w:r>
        <w:rPr>
          <w:sz w:val="28"/>
          <w:szCs w:val="28"/>
        </w:rPr>
        <w:t xml:space="preserve">0 ч. </w:t>
      </w:r>
      <w:r w:rsidRPr="000470E3">
        <w:rPr>
          <w:sz w:val="28"/>
          <w:szCs w:val="28"/>
        </w:rPr>
        <w:t xml:space="preserve">по </w:t>
      </w:r>
      <w:r w:rsidR="00F232D9">
        <w:rPr>
          <w:sz w:val="28"/>
          <w:szCs w:val="28"/>
        </w:rPr>
        <w:t>2</w:t>
      </w:r>
      <w:r w:rsidR="004D711C">
        <w:rPr>
          <w:sz w:val="28"/>
          <w:szCs w:val="28"/>
        </w:rPr>
        <w:t>9</w:t>
      </w:r>
      <w:bookmarkStart w:id="4" w:name="_GoBack"/>
      <w:bookmarkEnd w:id="4"/>
      <w:r>
        <w:rPr>
          <w:sz w:val="28"/>
          <w:szCs w:val="28"/>
        </w:rPr>
        <w:t>.</w:t>
      </w:r>
      <w:r w:rsidR="00F232D9">
        <w:rPr>
          <w:sz w:val="28"/>
          <w:szCs w:val="28"/>
        </w:rPr>
        <w:t>03</w:t>
      </w:r>
      <w:r w:rsidRPr="000470E3">
        <w:rPr>
          <w:sz w:val="28"/>
          <w:szCs w:val="28"/>
        </w:rPr>
        <w:t>.202</w:t>
      </w:r>
      <w:r w:rsidR="00F232D9">
        <w:rPr>
          <w:sz w:val="28"/>
          <w:szCs w:val="28"/>
        </w:rPr>
        <w:t>5</w:t>
      </w:r>
      <w:r w:rsidRPr="000470E3">
        <w:rPr>
          <w:sz w:val="28"/>
          <w:szCs w:val="28"/>
        </w:rPr>
        <w:t xml:space="preserve"> до </w:t>
      </w:r>
      <w:r w:rsidR="00F232D9">
        <w:rPr>
          <w:sz w:val="28"/>
          <w:szCs w:val="28"/>
        </w:rPr>
        <w:t>00</w:t>
      </w:r>
      <w:r w:rsidRPr="000470E3">
        <w:rPr>
          <w:sz w:val="28"/>
          <w:szCs w:val="28"/>
        </w:rPr>
        <w:t>-00 ч. (местное время)</w:t>
      </w:r>
      <w:r>
        <w:rPr>
          <w:sz w:val="28"/>
          <w:szCs w:val="28"/>
        </w:rPr>
        <w:t>.</w:t>
      </w:r>
    </w:p>
    <w:p w:rsidR="00697DE7" w:rsidRPr="000470E3" w:rsidRDefault="00697DE7" w:rsidP="00697DE7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Pr="000470E3">
        <w:rPr>
          <w:sz w:val="28"/>
          <w:szCs w:val="28"/>
        </w:rPr>
        <w:t>Дата рассмотрения заявок</w:t>
      </w:r>
      <w:r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954810">
        <w:rPr>
          <w:sz w:val="28"/>
          <w:szCs w:val="28"/>
        </w:rPr>
        <w:t>31</w:t>
      </w:r>
      <w:r>
        <w:rPr>
          <w:sz w:val="28"/>
          <w:szCs w:val="28"/>
        </w:rPr>
        <w:t>.</w:t>
      </w:r>
      <w:r w:rsidR="00954810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954810">
        <w:rPr>
          <w:sz w:val="28"/>
          <w:szCs w:val="28"/>
        </w:rPr>
        <w:t>5</w:t>
      </w:r>
      <w:r>
        <w:rPr>
          <w:sz w:val="28"/>
          <w:szCs w:val="28"/>
        </w:rPr>
        <w:t xml:space="preserve"> в 10</w:t>
      </w:r>
      <w:r w:rsidRPr="000470E3">
        <w:rPr>
          <w:sz w:val="28"/>
          <w:szCs w:val="28"/>
        </w:rPr>
        <w:t xml:space="preserve">-00 ч.    </w:t>
      </w:r>
    </w:p>
    <w:p w:rsidR="00697DE7" w:rsidRPr="00CD030C" w:rsidRDefault="00697DE7" w:rsidP="00697DE7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>Более подробну</w:t>
      </w:r>
      <w:r>
        <w:rPr>
          <w:sz w:val="28"/>
          <w:szCs w:val="28"/>
        </w:rPr>
        <w:t xml:space="preserve">ю информацию об объекте торгов, </w:t>
      </w:r>
      <w:r w:rsidRPr="00CD030C">
        <w:rPr>
          <w:sz w:val="28"/>
          <w:szCs w:val="28"/>
        </w:rPr>
        <w:t xml:space="preserve">технических </w:t>
      </w:r>
      <w:proofErr w:type="gramStart"/>
      <w:r w:rsidR="00954810" w:rsidRPr="00CD030C">
        <w:rPr>
          <w:sz w:val="28"/>
          <w:szCs w:val="28"/>
        </w:rPr>
        <w:t>условиях</w:t>
      </w:r>
      <w:r w:rsidR="00954810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х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ах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, </w:t>
      </w:r>
      <w:r w:rsidRPr="00CD030C">
        <w:rPr>
          <w:sz w:val="28"/>
          <w:szCs w:val="28"/>
        </w:rPr>
        <w:t xml:space="preserve">можно получить в Комитете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округа.</w:t>
      </w:r>
    </w:p>
    <w:p w:rsidR="00697DE7" w:rsidRPr="003F5849" w:rsidRDefault="00697DE7" w:rsidP="00697DE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697DE7" w:rsidRDefault="00697DE7" w:rsidP="00697DE7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697DE7" w:rsidRPr="003F5849" w:rsidRDefault="00697DE7" w:rsidP="00697DE7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Данное извещение </w:t>
      </w:r>
      <w:r w:rsidRPr="006522D6">
        <w:rPr>
          <w:sz w:val="28"/>
          <w:szCs w:val="28"/>
        </w:rPr>
        <w:t xml:space="preserve">о проведении торгов </w:t>
      </w:r>
      <w:r>
        <w:rPr>
          <w:sz w:val="28"/>
          <w:szCs w:val="28"/>
        </w:rPr>
        <w:t xml:space="preserve">будет опубликовано </w:t>
      </w:r>
      <w:r w:rsidRPr="006522D6">
        <w:rPr>
          <w:sz w:val="28"/>
          <w:szCs w:val="28"/>
        </w:rPr>
        <w:t>на официальном сайте Российской Федерации  в сети "Интернет"</w:t>
      </w:r>
      <w:r>
        <w:rPr>
          <w:sz w:val="28"/>
          <w:szCs w:val="28"/>
        </w:rPr>
        <w:t xml:space="preserve"> на сайте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.torgi.gov.ru</w:t>
      </w:r>
      <w:r>
        <w:rPr>
          <w:sz w:val="28"/>
          <w:szCs w:val="28"/>
        </w:rPr>
        <w:t xml:space="preserve">, на сайте администрации </w:t>
      </w:r>
      <w:proofErr w:type="spellStart"/>
      <w:r>
        <w:rPr>
          <w:sz w:val="28"/>
          <w:szCs w:val="28"/>
        </w:rPr>
        <w:t>Мысковского</w:t>
      </w:r>
      <w:proofErr w:type="spellEnd"/>
      <w:r>
        <w:rPr>
          <w:sz w:val="28"/>
          <w:szCs w:val="28"/>
        </w:rPr>
        <w:t xml:space="preserve"> городского округа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.myskiadmin.ru</w:t>
      </w:r>
      <w:r>
        <w:rPr>
          <w:sz w:val="28"/>
          <w:szCs w:val="28"/>
        </w:rPr>
        <w:t xml:space="preserve">, на сайте Комитета по муниципальному имуществу </w:t>
      </w:r>
      <w:proofErr w:type="spellStart"/>
      <w:r>
        <w:rPr>
          <w:sz w:val="28"/>
          <w:szCs w:val="28"/>
        </w:rPr>
        <w:t>Мысковского</w:t>
      </w:r>
      <w:proofErr w:type="spellEnd"/>
      <w:r>
        <w:rPr>
          <w:sz w:val="28"/>
          <w:szCs w:val="28"/>
        </w:rPr>
        <w:t xml:space="preserve"> городского округа </w:t>
      </w:r>
      <w:hyperlink r:id="rId70" w:history="1">
        <w:r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Pr="00556833">
        <w:rPr>
          <w:sz w:val="28"/>
          <w:szCs w:val="28"/>
        </w:rPr>
        <w:t>.</w:t>
      </w:r>
    </w:p>
    <w:p w:rsidR="00697DE7" w:rsidRDefault="00697DE7" w:rsidP="00697DE7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71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697DE7" w:rsidRDefault="00697DE7" w:rsidP="00697DE7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697DE7" w:rsidRPr="006522D6" w:rsidRDefault="00F232D9" w:rsidP="00697DE7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697DE7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697DE7" w:rsidRPr="006522D6">
        <w:rPr>
          <w:sz w:val="28"/>
          <w:szCs w:val="28"/>
        </w:rPr>
        <w:t xml:space="preserve"> КУМИ</w:t>
      </w:r>
    </w:p>
    <w:p w:rsidR="00697DE7" w:rsidRPr="00697ACB" w:rsidRDefault="00697DE7" w:rsidP="00697DE7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proofErr w:type="spellStart"/>
      <w:r w:rsidRPr="006522D6">
        <w:rPr>
          <w:sz w:val="28"/>
          <w:szCs w:val="28"/>
        </w:rPr>
        <w:t>Мысковского</w:t>
      </w:r>
      <w:proofErr w:type="spellEnd"/>
      <w:r w:rsidRPr="006522D6">
        <w:rPr>
          <w:sz w:val="28"/>
          <w:szCs w:val="28"/>
        </w:rPr>
        <w:t xml:space="preserve"> городского округа                               </w:t>
      </w:r>
      <w:r>
        <w:rPr>
          <w:sz w:val="28"/>
          <w:szCs w:val="28"/>
        </w:rPr>
        <w:t xml:space="preserve">                               </w:t>
      </w:r>
      <w:r w:rsidR="00F232D9">
        <w:rPr>
          <w:sz w:val="28"/>
          <w:szCs w:val="28"/>
        </w:rPr>
        <w:t>Д.А. Бабушкин</w:t>
      </w: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Default="00697DE7" w:rsidP="00697DE7">
      <w:pPr>
        <w:jc w:val="both"/>
        <w:rPr>
          <w:sz w:val="18"/>
          <w:szCs w:val="18"/>
        </w:rPr>
      </w:pPr>
    </w:p>
    <w:p w:rsidR="00697DE7" w:rsidRPr="003121E0" w:rsidRDefault="00697DE7" w:rsidP="00697DE7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>
        <w:rPr>
          <w:sz w:val="18"/>
          <w:szCs w:val="18"/>
        </w:rPr>
        <w:t>Никифорович К.А.</w:t>
      </w:r>
    </w:p>
    <w:p w:rsidR="00697DE7" w:rsidRDefault="00697DE7" w:rsidP="00697DE7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AC1CD1" w:rsidRDefault="00AC1CD1" w:rsidP="00697DE7">
      <w:pPr>
        <w:rPr>
          <w:sz w:val="18"/>
          <w:szCs w:val="18"/>
        </w:rPr>
      </w:pPr>
    </w:p>
    <w:sectPr w:rsidR="00AC1CD1" w:rsidSect="00CA7950">
      <w:pgSz w:w="11907" w:h="16840" w:code="9"/>
      <w:pgMar w:top="567" w:right="567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2"/>
  </w:num>
  <w:num w:numId="5">
    <w:abstractNumId w:val="15"/>
  </w:num>
  <w:num w:numId="6">
    <w:abstractNumId w:val="4"/>
  </w:num>
  <w:num w:numId="7">
    <w:abstractNumId w:val="10"/>
  </w:num>
  <w:num w:numId="8">
    <w:abstractNumId w:val="19"/>
  </w:num>
  <w:num w:numId="9">
    <w:abstractNumId w:val="7"/>
  </w:num>
  <w:num w:numId="10">
    <w:abstractNumId w:val="11"/>
  </w:num>
  <w:num w:numId="11">
    <w:abstractNumId w:val="20"/>
  </w:num>
  <w:num w:numId="12">
    <w:abstractNumId w:val="22"/>
    <w:lvlOverride w:ilvl="0">
      <w:startOverride w:val="1"/>
    </w:lvlOverride>
  </w:num>
  <w:num w:numId="13">
    <w:abstractNumId w:val="22"/>
  </w:num>
  <w:num w:numId="14">
    <w:abstractNumId w:val="16"/>
  </w:num>
  <w:num w:numId="15">
    <w:abstractNumId w:val="24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18"/>
  </w:num>
  <w:num w:numId="20">
    <w:abstractNumId w:val="17"/>
  </w:num>
  <w:num w:numId="21">
    <w:abstractNumId w:val="13"/>
  </w:num>
  <w:num w:numId="22">
    <w:abstractNumId w:val="2"/>
  </w:num>
  <w:num w:numId="23">
    <w:abstractNumId w:val="5"/>
  </w:num>
  <w:num w:numId="24">
    <w:abstractNumId w:val="3"/>
  </w:num>
  <w:num w:numId="25">
    <w:abstractNumId w:val="14"/>
  </w:num>
  <w:num w:numId="26">
    <w:abstractNumId w:val="9"/>
  </w:num>
  <w:num w:numId="27">
    <w:abstractNumId w:val="2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81C84"/>
    <w:rsid w:val="000E1A99"/>
    <w:rsid w:val="00105104"/>
    <w:rsid w:val="001220B2"/>
    <w:rsid w:val="002E19DC"/>
    <w:rsid w:val="003016C0"/>
    <w:rsid w:val="003B0BFC"/>
    <w:rsid w:val="003C60EE"/>
    <w:rsid w:val="003F533C"/>
    <w:rsid w:val="00461E70"/>
    <w:rsid w:val="004D711C"/>
    <w:rsid w:val="00546161"/>
    <w:rsid w:val="005845E5"/>
    <w:rsid w:val="00586277"/>
    <w:rsid w:val="00656377"/>
    <w:rsid w:val="00697DE7"/>
    <w:rsid w:val="006C2EC6"/>
    <w:rsid w:val="006E436A"/>
    <w:rsid w:val="00705C06"/>
    <w:rsid w:val="00755FF9"/>
    <w:rsid w:val="007D7522"/>
    <w:rsid w:val="008C3F23"/>
    <w:rsid w:val="0095117C"/>
    <w:rsid w:val="00954810"/>
    <w:rsid w:val="00966CDF"/>
    <w:rsid w:val="0097792D"/>
    <w:rsid w:val="00AB67C8"/>
    <w:rsid w:val="00AC1CD1"/>
    <w:rsid w:val="00B8708D"/>
    <w:rsid w:val="00C03D40"/>
    <w:rsid w:val="00C04AC0"/>
    <w:rsid w:val="00CA7950"/>
    <w:rsid w:val="00CB05FB"/>
    <w:rsid w:val="00D14DF8"/>
    <w:rsid w:val="00DF380E"/>
    <w:rsid w:val="00F232D9"/>
    <w:rsid w:val="00F6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EEE14"/>
  <w15:docId w15:val="{2072302E-10C9-479F-B69B-BE68FB6E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rmal (Web)"/>
    <w:basedOn w:val="a"/>
    <w:uiPriority w:val="99"/>
    <w:rsid w:val="00697DE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697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Unresolved Mention"/>
    <w:basedOn w:val="a0"/>
    <w:uiPriority w:val="99"/>
    <w:semiHidden/>
    <w:unhideWhenUsed/>
    <w:rsid w:val="00F23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409&amp;field=134&amp;date=01.11.2024" TargetMode="External"/><Relationship Id="rId21" Type="http://schemas.openxmlformats.org/officeDocument/2006/relationships/hyperlink" Target="https://login.consultant.ru/link/?req=doc&amp;base=LAW&amp;n=423603&amp;dst=100265&amp;field=134&amp;date=01.11.2024" TargetMode="External"/><Relationship Id="rId42" Type="http://schemas.openxmlformats.org/officeDocument/2006/relationships/hyperlink" Target="https://login.consultant.ru/link/?req=doc&amp;base=LAW&amp;n=423603&amp;dst=100139&amp;field=134&amp;date=01.11.2024" TargetMode="External"/><Relationship Id="rId47" Type="http://schemas.openxmlformats.org/officeDocument/2006/relationships/hyperlink" Target="https://login.consultant.ru/link/?req=doc&amp;base=LAW&amp;n=423603&amp;dst=100259&amp;field=134&amp;date=01.11.2024" TargetMode="External"/><Relationship Id="rId63" Type="http://schemas.openxmlformats.org/officeDocument/2006/relationships/hyperlink" Target="https://login.consultant.ru/link/?req=doc&amp;base=LAW&amp;n=471026&amp;dst=100585&amp;field=134&amp;date=01.11.2024" TargetMode="External"/><Relationship Id="rId68" Type="http://schemas.openxmlformats.org/officeDocument/2006/relationships/hyperlink" Target="https://torgi.gov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3603&amp;dst=100214&amp;field=134&amp;date=01.11.2024" TargetMode="External"/><Relationship Id="rId29" Type="http://schemas.openxmlformats.org/officeDocument/2006/relationships/hyperlink" Target="https://login.consultant.ru/link/?req=doc&amp;base=LAW&amp;n=423603&amp;dst=100385&amp;field=134&amp;date=01.11.2024" TargetMode="External"/><Relationship Id="rId11" Type="http://schemas.openxmlformats.org/officeDocument/2006/relationships/hyperlink" Target="https://login.consultant.ru/link/?req=doc&amp;base=LAW&amp;n=423603&amp;dst=100208&amp;field=134&amp;date=01.11.2024" TargetMode="External"/><Relationship Id="rId24" Type="http://schemas.openxmlformats.org/officeDocument/2006/relationships/hyperlink" Target="https://login.consultant.ru/link/?req=doc&amp;base=LAW&amp;n=423603&amp;dst=100385&amp;field=134&amp;date=01.11.2024" TargetMode="External"/><Relationship Id="rId32" Type="http://schemas.openxmlformats.org/officeDocument/2006/relationships/hyperlink" Target="https://login.consultant.ru/link/?req=doc&amp;base=LAW&amp;n=423603&amp;dst=100286&amp;field=134&amp;date=01.11.2024" TargetMode="External"/><Relationship Id="rId37" Type="http://schemas.openxmlformats.org/officeDocument/2006/relationships/hyperlink" Target="https://login.consultant.ru/link/?req=doc&amp;base=LAW&amp;n=465775&amp;date=01.11.2024" TargetMode="External"/><Relationship Id="rId40" Type="http://schemas.openxmlformats.org/officeDocument/2006/relationships/hyperlink" Target="https://login.consultant.ru/link/?req=doc&amp;base=LAW&amp;n=423603&amp;dst=100250&amp;field=134&amp;date=01.11.2024" TargetMode="External"/><Relationship Id="rId45" Type="http://schemas.openxmlformats.org/officeDocument/2006/relationships/hyperlink" Target="https://login.consultant.ru/link/?req=doc&amp;base=LAW&amp;n=423603&amp;dst=100226&amp;field=134&amp;date=01.11.2024" TargetMode="External"/><Relationship Id="rId53" Type="http://schemas.openxmlformats.org/officeDocument/2006/relationships/hyperlink" Target="https://login.consultant.ru/link/?req=doc&amp;base=LAW&amp;n=423603&amp;dst=100211&amp;field=134&amp;date=01.11.2024" TargetMode="External"/><Relationship Id="rId58" Type="http://schemas.openxmlformats.org/officeDocument/2006/relationships/hyperlink" Target="https://login.consultant.ru/link/?req=doc&amp;base=LAW&amp;n=423603&amp;dst=100469&amp;field=134&amp;date=01.11.2024" TargetMode="External"/><Relationship Id="rId66" Type="http://schemas.openxmlformats.org/officeDocument/2006/relationships/hyperlink" Target="http://www.rts-tender.ru" TargetMode="External"/><Relationship Id="rId5" Type="http://schemas.openxmlformats.org/officeDocument/2006/relationships/hyperlink" Target="https://login.consultant.ru/link/?req=doc&amp;base=LAW&amp;n=423603&amp;dst=100064&amp;field=134&amp;date=01.11.2024" TargetMode="External"/><Relationship Id="rId61" Type="http://schemas.openxmlformats.org/officeDocument/2006/relationships/hyperlink" Target="https://login.consultant.ru/link/?req=doc&amp;base=LAW&amp;n=423603&amp;dst=100460&amp;field=134&amp;date=01.11.2024" TargetMode="External"/><Relationship Id="rId19" Type="http://schemas.openxmlformats.org/officeDocument/2006/relationships/hyperlink" Target="https://login.consultant.ru/link/?req=doc&amp;base=LAW&amp;n=423603&amp;dst=100259&amp;field=134&amp;date=01.11.2024" TargetMode="External"/><Relationship Id="rId14" Type="http://schemas.openxmlformats.org/officeDocument/2006/relationships/hyperlink" Target="https://login.consultant.ru/link/?req=doc&amp;base=LAW&amp;n=423603&amp;dst=100226&amp;field=134&amp;date=01.11.2024" TargetMode="External"/><Relationship Id="rId22" Type="http://schemas.openxmlformats.org/officeDocument/2006/relationships/hyperlink" Target="https://login.consultant.ru/link/?req=doc&amp;base=LAW&amp;n=423603&amp;dst=100349&amp;field=134&amp;date=01.11.2024" TargetMode="External"/><Relationship Id="rId27" Type="http://schemas.openxmlformats.org/officeDocument/2006/relationships/hyperlink" Target="https://login.consultant.ru/link/?req=doc&amp;base=LAW&amp;n=423603&amp;dst=100109&amp;field=134&amp;date=01.11.2024" TargetMode="External"/><Relationship Id="rId30" Type="http://schemas.openxmlformats.org/officeDocument/2006/relationships/hyperlink" Target="https://login.consultant.ru/link/?req=doc&amp;base=LAW&amp;n=423603&amp;dst=100460&amp;field=134&amp;date=01.11.2024" TargetMode="External"/><Relationship Id="rId35" Type="http://schemas.openxmlformats.org/officeDocument/2006/relationships/hyperlink" Target="https://login.consultant.ru/link/?req=doc&amp;base=LAW&amp;n=423603&amp;dst=100469&amp;field=134&amp;date=01.11.2024" TargetMode="External"/><Relationship Id="rId43" Type="http://schemas.openxmlformats.org/officeDocument/2006/relationships/hyperlink" Target="https://login.consultant.ru/link/?req=doc&amp;base=LAW&amp;n=423603&amp;dst=100208&amp;field=134&amp;date=01.11.2024" TargetMode="External"/><Relationship Id="rId48" Type="http://schemas.openxmlformats.org/officeDocument/2006/relationships/hyperlink" Target="https://login.consultant.ru/link/?req=doc&amp;base=LAW&amp;n=423603&amp;dst=100262&amp;field=134&amp;date=01.11.2024" TargetMode="External"/><Relationship Id="rId56" Type="http://schemas.openxmlformats.org/officeDocument/2006/relationships/hyperlink" Target="https://login.consultant.ru/link/?req=doc&amp;base=LAW&amp;n=423603&amp;dst=100286&amp;field=134&amp;date=01.11.2024" TargetMode="External"/><Relationship Id="rId64" Type="http://schemas.openxmlformats.org/officeDocument/2006/relationships/hyperlink" Target="https://login.consultant.ru/link/?req=doc&amp;base=RLAW117&amp;n=53981&amp;dst=101689&amp;field=134&amp;date=01.11.2024" TargetMode="External"/><Relationship Id="rId69" Type="http://schemas.openxmlformats.org/officeDocument/2006/relationships/hyperlink" Target="https://torgi.gov.ru" TargetMode="External"/><Relationship Id="rId8" Type="http://schemas.openxmlformats.org/officeDocument/2006/relationships/hyperlink" Target="https://login.consultant.ru/link/?req=doc&amp;base=LAW&amp;n=423603&amp;dst=100118&amp;field=134&amp;date=01.11.2024" TargetMode="External"/><Relationship Id="rId51" Type="http://schemas.openxmlformats.org/officeDocument/2006/relationships/hyperlink" Target="https://login.consultant.ru/link/?req=doc&amp;base=LAW&amp;n=423603&amp;dst=100064&amp;field=134&amp;date=01.11.2024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23603&amp;dst=100211&amp;field=134&amp;date=01.11.2024" TargetMode="External"/><Relationship Id="rId17" Type="http://schemas.openxmlformats.org/officeDocument/2006/relationships/hyperlink" Target="https://login.consultant.ru/link/?req=doc&amp;base=LAW&amp;n=423603&amp;dst=100250&amp;field=134&amp;date=01.11.2024" TargetMode="External"/><Relationship Id="rId25" Type="http://schemas.openxmlformats.org/officeDocument/2006/relationships/hyperlink" Target="https://login.consultant.ru/link/?req=doc&amp;base=LAW&amp;n=423603&amp;dst=100394&amp;field=134&amp;date=01.11.2024" TargetMode="External"/><Relationship Id="rId33" Type="http://schemas.openxmlformats.org/officeDocument/2006/relationships/hyperlink" Target="https://login.consultant.ru/link/?req=doc&amp;base=RLAW117&amp;n=54759&amp;dst=100049&amp;field=134&amp;date=01.11.2024" TargetMode="External"/><Relationship Id="rId38" Type="http://schemas.openxmlformats.org/officeDocument/2006/relationships/hyperlink" Target="https://login.consultant.ru/link/?req=doc&amp;base=LAW&amp;n=423603&amp;dst=100118&amp;field=134&amp;date=01.11.2024" TargetMode="External"/><Relationship Id="rId46" Type="http://schemas.openxmlformats.org/officeDocument/2006/relationships/hyperlink" Target="https://login.consultant.ru/link/?req=doc&amp;base=LAW&amp;n=423603&amp;dst=100256&amp;field=134&amp;date=01.11.2024" TargetMode="External"/><Relationship Id="rId59" Type="http://schemas.openxmlformats.org/officeDocument/2006/relationships/hyperlink" Target="https://login.consultant.ru/link/?req=doc&amp;base=RLAW117&amp;n=54759&amp;dst=100061&amp;field=134&amp;date=01.11.2024" TargetMode="External"/><Relationship Id="rId67" Type="http://schemas.openxmlformats.org/officeDocument/2006/relationships/hyperlink" Target="mailto:iSupport@rts-tender.ru" TargetMode="External"/><Relationship Id="rId20" Type="http://schemas.openxmlformats.org/officeDocument/2006/relationships/hyperlink" Target="https://login.consultant.ru/link/?req=doc&amp;base=LAW&amp;n=423603&amp;dst=100262&amp;field=134&amp;date=01.11.2024" TargetMode="External"/><Relationship Id="rId41" Type="http://schemas.openxmlformats.org/officeDocument/2006/relationships/hyperlink" Target="https://login.consultant.ru/link/?req=doc&amp;base=LAW&amp;n=423603&amp;dst=100121&amp;field=134&amp;date=01.11.2024" TargetMode="External"/><Relationship Id="rId54" Type="http://schemas.openxmlformats.org/officeDocument/2006/relationships/hyperlink" Target="https://login.consultant.ru/link/?req=doc&amp;base=LAW&amp;n=423603&amp;dst=100349&amp;field=134&amp;date=01.11.2024" TargetMode="External"/><Relationship Id="rId62" Type="http://schemas.openxmlformats.org/officeDocument/2006/relationships/hyperlink" Target="https://login.consultant.ru/link/?req=doc&amp;base=LAW&amp;n=423603&amp;dst=100463&amp;field=134&amp;date=01.11.2024" TargetMode="External"/><Relationship Id="rId70" Type="http://schemas.openxmlformats.org/officeDocument/2006/relationships/hyperlink" Target="https://kumimg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3603&amp;dst=100250&amp;field=134&amp;date=01.11.2024" TargetMode="External"/><Relationship Id="rId15" Type="http://schemas.openxmlformats.org/officeDocument/2006/relationships/hyperlink" Target="https://login.consultant.ru/link/?req=doc&amp;base=LAW&amp;n=423603&amp;dst=100112&amp;field=134&amp;date=01.11.2024" TargetMode="External"/><Relationship Id="rId23" Type="http://schemas.openxmlformats.org/officeDocument/2006/relationships/hyperlink" Target="https://login.consultant.ru/link/?req=doc&amp;base=LAW&amp;n=423603&amp;dst=100352&amp;field=134&amp;date=01.11.2024" TargetMode="External"/><Relationship Id="rId28" Type="http://schemas.openxmlformats.org/officeDocument/2006/relationships/hyperlink" Target="https://login.consultant.ru/link/?req=doc&amp;base=LAW&amp;n=423603&amp;dst=100250&amp;field=134&amp;date=01.11.2024" TargetMode="External"/><Relationship Id="rId36" Type="http://schemas.openxmlformats.org/officeDocument/2006/relationships/hyperlink" Target="https://login.consultant.ru/link/?req=doc&amp;base=RLAW117&amp;n=54759&amp;dst=100055&amp;field=134&amp;date=01.11.2024" TargetMode="External"/><Relationship Id="rId49" Type="http://schemas.openxmlformats.org/officeDocument/2006/relationships/hyperlink" Target="https://login.consultant.ru/link/?req=doc&amp;base=LAW&amp;n=423603&amp;dst=100265&amp;field=134&amp;date=01.11.2024" TargetMode="External"/><Relationship Id="rId57" Type="http://schemas.openxmlformats.org/officeDocument/2006/relationships/hyperlink" Target="https://login.consultant.ru/link/?req=doc&amp;base=LAW&amp;n=423603&amp;dst=100352&amp;field=134&amp;date=01.11.2024" TargetMode="External"/><Relationship Id="rId10" Type="http://schemas.openxmlformats.org/officeDocument/2006/relationships/hyperlink" Target="https://login.consultant.ru/link/?req=doc&amp;base=LAW&amp;n=423603&amp;dst=100139&amp;field=134&amp;date=01.11.2024" TargetMode="External"/><Relationship Id="rId31" Type="http://schemas.openxmlformats.org/officeDocument/2006/relationships/hyperlink" Target="https://login.consultant.ru/link/?req=doc&amp;base=LAW&amp;n=423603&amp;dst=100463&amp;field=134&amp;date=01.11.2024" TargetMode="External"/><Relationship Id="rId44" Type="http://schemas.openxmlformats.org/officeDocument/2006/relationships/hyperlink" Target="https://login.consultant.ru/link/?req=doc&amp;base=LAW&amp;n=423603&amp;dst=100217&amp;field=134&amp;date=01.11.2024" TargetMode="External"/><Relationship Id="rId52" Type="http://schemas.openxmlformats.org/officeDocument/2006/relationships/hyperlink" Target="https://login.consultant.ru/link/?req=doc&amp;base=LAW&amp;n=423603&amp;dst=100070&amp;field=134&amp;date=01.11.2024" TargetMode="External"/><Relationship Id="rId60" Type="http://schemas.openxmlformats.org/officeDocument/2006/relationships/hyperlink" Target="https://login.consultant.ru/link/?req=doc&amp;base=LAW&amp;n=423603&amp;dst=100394&amp;field=134&amp;date=01.11.2024" TargetMode="External"/><Relationship Id="rId65" Type="http://schemas.openxmlformats.org/officeDocument/2006/relationships/hyperlink" Target="https://login.consultant.ru/link/?req=doc&amp;base=RLAW117&amp;n=53981&amp;dst=101689&amp;field=134&amp;date=01.11.2024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3603&amp;dst=100121&amp;field=134&amp;date=01.11.2024" TargetMode="External"/><Relationship Id="rId13" Type="http://schemas.openxmlformats.org/officeDocument/2006/relationships/hyperlink" Target="https://login.consultant.ru/link/?req=doc&amp;base=LAW&amp;n=423603&amp;dst=100217&amp;field=134&amp;date=01.11.2024" TargetMode="External"/><Relationship Id="rId18" Type="http://schemas.openxmlformats.org/officeDocument/2006/relationships/hyperlink" Target="https://login.consultant.ru/link/?req=doc&amp;base=LAW&amp;n=423603&amp;dst=100256&amp;field=134&amp;date=01.11.2024" TargetMode="External"/><Relationship Id="rId39" Type="http://schemas.openxmlformats.org/officeDocument/2006/relationships/hyperlink" Target="https://login.consultant.ru/link/?req=doc&amp;base=LAW&amp;n=423603&amp;dst=100109&amp;field=134&amp;date=01.11.2024" TargetMode="External"/><Relationship Id="rId34" Type="http://schemas.openxmlformats.org/officeDocument/2006/relationships/hyperlink" Target="https://login.consultant.ru/link/?req=doc&amp;base=LAW&amp;n=423603&amp;dst=100070&amp;field=134&amp;date=01.11.2024" TargetMode="External"/><Relationship Id="rId50" Type="http://schemas.openxmlformats.org/officeDocument/2006/relationships/hyperlink" Target="https://login.consultant.ru/link/?req=doc&amp;base=LAW&amp;n=423603&amp;dst=100409&amp;field=134&amp;date=01.11.2024" TargetMode="External"/><Relationship Id="rId55" Type="http://schemas.openxmlformats.org/officeDocument/2006/relationships/hyperlink" Target="https://login.consultant.ru/link/?req=doc&amp;base=LAW&amp;n=423603&amp;dst=100385&amp;field=134&amp;date=01.11.2024" TargetMode="External"/><Relationship Id="rId7" Type="http://schemas.openxmlformats.org/officeDocument/2006/relationships/hyperlink" Target="https://login.consultant.ru/link/?req=doc&amp;base=LAW&amp;n=423603&amp;dst=100109&amp;field=134&amp;date=01.11.2024" TargetMode="External"/><Relationship Id="rId71" Type="http://schemas.openxmlformats.org/officeDocument/2006/relationships/hyperlink" Target="mailto:Kumi.myski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12</Pages>
  <Words>5339</Words>
  <Characters>30434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k-7</cp:lastModifiedBy>
  <cp:revision>17</cp:revision>
  <dcterms:created xsi:type="dcterms:W3CDTF">2021-08-19T03:16:00Z</dcterms:created>
  <dcterms:modified xsi:type="dcterms:W3CDTF">2025-02-26T09:24:00Z</dcterms:modified>
</cp:coreProperties>
</file>